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7D163" w14:textId="77777777" w:rsidR="00402810" w:rsidRDefault="00B45030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浙江工业大学师范类本科学生专业确认实施办法</w:t>
      </w:r>
    </w:p>
    <w:p w14:paraId="16688BB9" w14:textId="77777777" w:rsidR="00402810" w:rsidRDefault="00B4503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</w:rPr>
        <w:t>根据《浙江工业大学本科学生专业确认实施办法》特制订师范大类所属四个本科专业学生专业确认实施办法。</w:t>
      </w:r>
    </w:p>
    <w:p w14:paraId="43C4F9FF" w14:textId="77777777" w:rsidR="00402810" w:rsidRDefault="00B45030">
      <w:pPr>
        <w:pStyle w:val="a8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专业确认的基本原则</w:t>
      </w:r>
    </w:p>
    <w:p w14:paraId="76B7718B" w14:textId="77777777" w:rsidR="00402810" w:rsidRDefault="00B4503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专业确认的学生范围是当年被录取的“师范专业”大类学生。专业包括“机械工程（师范）”、“电气工程及其自动化（师范）”、“教育技术学（师范）”及“计算机科学与技术（师范）”共</w:t>
      </w: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个专业。</w:t>
      </w:r>
    </w:p>
    <w:p w14:paraId="768BCD64" w14:textId="77777777" w:rsidR="00402810" w:rsidRDefault="00B4503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公开、公平、公正的原则。</w:t>
      </w:r>
    </w:p>
    <w:p w14:paraId="6C5364BE" w14:textId="77777777" w:rsidR="00402810" w:rsidRDefault="00B4503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志愿优先、择优准入原则。</w:t>
      </w:r>
    </w:p>
    <w:p w14:paraId="564CD11F" w14:textId="77777777" w:rsidR="00402810" w:rsidRDefault="00B4503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各专业省外、省内录取人数按原招生人数比例划分。</w:t>
      </w:r>
    </w:p>
    <w:p w14:paraId="5BFF7517" w14:textId="77777777" w:rsidR="00402810" w:rsidRDefault="00B4503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各专业按照当年招生计划数接收学生，当学生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志愿率超过专业招生计划的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150%</w:t>
      </w:r>
      <w:r>
        <w:rPr>
          <w:rFonts w:asciiTheme="minorEastAsia" w:eastAsiaTheme="minorEastAsia" w:hAnsiTheme="minorEastAsia" w:hint="eastAsia"/>
          <w:sz w:val="24"/>
          <w:szCs w:val="24"/>
        </w:rPr>
        <w:t>（含）时，招生计划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上浮。</w:t>
      </w:r>
    </w:p>
    <w:p w14:paraId="723BE398" w14:textId="77777777" w:rsidR="00402810" w:rsidRDefault="00B45030">
      <w:pPr>
        <w:pStyle w:val="a8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专业确认的组织管理及遴选办法</w:t>
      </w:r>
    </w:p>
    <w:p w14:paraId="7E97422A" w14:textId="77777777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学校成立师范类专业确认工作小组，负责实施专业确认工作。</w:t>
      </w:r>
    </w:p>
    <w:p w14:paraId="0BD24085" w14:textId="77777777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学生根据自身意愿填写专业确认表格，浙江省</w:t>
      </w:r>
      <w:r>
        <w:rPr>
          <w:rFonts w:asciiTheme="minorEastAsia" w:eastAsiaTheme="minorEastAsia" w:hAnsiTheme="minorEastAsia" w:hint="eastAsia"/>
          <w:sz w:val="24"/>
          <w:szCs w:val="24"/>
        </w:rPr>
        <w:t>内学生提交类内所有专业志愿的顺序，省外学生在原高考志愿类中按顺序填报专业。</w:t>
      </w:r>
    </w:p>
    <w:p w14:paraId="1C01DA27" w14:textId="77777777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对高考成绩位次号在全省前</w:t>
      </w:r>
      <w:r>
        <w:rPr>
          <w:rFonts w:asciiTheme="minorEastAsia" w:eastAsiaTheme="minorEastAsia" w:hAnsiTheme="minorEastAsia" w:hint="eastAsia"/>
          <w:sz w:val="24"/>
          <w:szCs w:val="24"/>
        </w:rPr>
        <w:t>6000</w:t>
      </w:r>
      <w:r>
        <w:rPr>
          <w:rFonts w:asciiTheme="minorEastAsia" w:eastAsiaTheme="minorEastAsia" w:hAnsiTheme="minorEastAsia" w:hint="eastAsia"/>
          <w:sz w:val="24"/>
          <w:szCs w:val="24"/>
        </w:rPr>
        <w:t>名（含）的浙江省进档考生，在专业确认时，确保满足学生所填的第一专业志愿（外省普通高考学生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适用相同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规则）；高考成绩位次号在全省前</w:t>
      </w:r>
      <w:r>
        <w:rPr>
          <w:rFonts w:asciiTheme="minorEastAsia" w:eastAsiaTheme="minorEastAsia" w:hAnsiTheme="minorEastAsia" w:hint="eastAsia"/>
          <w:sz w:val="24"/>
          <w:szCs w:val="24"/>
        </w:rPr>
        <w:t>9000</w:t>
      </w:r>
      <w:r>
        <w:rPr>
          <w:rFonts w:asciiTheme="minorEastAsia" w:eastAsiaTheme="minorEastAsia" w:hAnsiTheme="minorEastAsia" w:hint="eastAsia"/>
          <w:sz w:val="24"/>
          <w:szCs w:val="24"/>
        </w:rPr>
        <w:t>名（含）的浙江省进档考生，在专业确认时，确保满足学生所填的前两个专业志愿的其中一个（外省普通高考学生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适用相同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规则）。</w:t>
      </w:r>
    </w:p>
    <w:p w14:paraId="0E1AC79D" w14:textId="77777777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浙江省内生源大类内的专业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确认分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两轮进行确认。</w:t>
      </w:r>
    </w:p>
    <w:p w14:paraId="3468836A" w14:textId="77777777" w:rsidR="00402810" w:rsidRDefault="00B4503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第一轮按高考成绩进行专业确认。对于浙江省内学生，首先按高考成绩位次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号直接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确认各专业设定的省内名额数的</w:t>
      </w:r>
      <w:r>
        <w:rPr>
          <w:rFonts w:asciiTheme="minorEastAsia" w:eastAsiaTheme="minorEastAsia" w:hAnsiTheme="minorEastAsia" w:hint="eastAsia"/>
          <w:sz w:val="24"/>
          <w:szCs w:val="24"/>
        </w:rPr>
        <w:t>50</w:t>
      </w:r>
      <w:r>
        <w:rPr>
          <w:rFonts w:asciiTheme="minorEastAsia" w:eastAsiaTheme="minorEastAsia" w:hAnsiTheme="minorEastAsia" w:hint="eastAsia"/>
          <w:sz w:val="24"/>
          <w:szCs w:val="24"/>
        </w:rPr>
        <w:t>％</w:t>
      </w:r>
      <w:r>
        <w:rPr>
          <w:rFonts w:asciiTheme="minorEastAsia" w:eastAsiaTheme="minorEastAsia" w:hAnsiTheme="minorEastAsia" w:hint="eastAsia"/>
          <w:sz w:val="24"/>
          <w:szCs w:val="24"/>
        </w:rPr>
        <w:t>，同时被确认的学生必须满足核心课程（高等数学）期中考试无不及格的课程条件。当申请学生数不大于该专业设定的省内名额数的</w:t>
      </w:r>
      <w:r>
        <w:rPr>
          <w:rFonts w:asciiTheme="minorEastAsia" w:eastAsiaTheme="minorEastAsia" w:hAnsiTheme="minorEastAsia" w:hint="eastAsia"/>
          <w:sz w:val="24"/>
          <w:szCs w:val="24"/>
        </w:rPr>
        <w:t>50</w:t>
      </w:r>
      <w:r>
        <w:rPr>
          <w:rFonts w:asciiTheme="minorEastAsia" w:eastAsiaTheme="minorEastAsia" w:hAnsiTheme="minorEastAsia" w:hint="eastAsia"/>
          <w:sz w:val="24"/>
          <w:szCs w:val="24"/>
        </w:rPr>
        <w:t>％时，应无条件接受所有填报学生；当申请学生数大于该专业设定的省内名额数的</w:t>
      </w:r>
      <w:r>
        <w:rPr>
          <w:rFonts w:asciiTheme="minorEastAsia" w:eastAsiaTheme="minorEastAsia" w:hAnsiTheme="minorEastAsia" w:hint="eastAsia"/>
          <w:sz w:val="24"/>
          <w:szCs w:val="24"/>
        </w:rPr>
        <w:t>50</w:t>
      </w:r>
      <w:r>
        <w:rPr>
          <w:rFonts w:asciiTheme="minorEastAsia" w:eastAsiaTheme="minorEastAsia" w:hAnsiTheme="minorEastAsia" w:hint="eastAsia"/>
          <w:sz w:val="24"/>
          <w:szCs w:val="24"/>
        </w:rPr>
        <w:t>％时，应依据高考成绩位次号确认。每个学生第一轮最多可填报大类内三个专业志愿，所填报的专业志愿须为大类内的专业。</w:t>
      </w:r>
    </w:p>
    <w:p w14:paraId="288647E2" w14:textId="77777777" w:rsidR="00402810" w:rsidRDefault="00B4503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二轮按综合成绩进行确认。在第一轮确认工作结束后，剩余未确认的学生重新填报志愿。当第二轮各专业填报人数在专业剩余接收计划人数范围内，接受所有填报学生。当填报人数超过接收计划时，按高考总分（折合成百分制，即</w:t>
      </w:r>
      <w:r>
        <w:rPr>
          <w:rFonts w:asciiTheme="minorEastAsia" w:eastAsiaTheme="minorEastAsia" w:hAnsiTheme="minorEastAsia" w:hint="eastAsia"/>
          <w:sz w:val="24"/>
          <w:szCs w:val="24"/>
        </w:rPr>
        <w:t>：（高考总分</w:t>
      </w:r>
      <w:r>
        <w:rPr>
          <w:rFonts w:asciiTheme="minorEastAsia" w:eastAsiaTheme="minorEastAsia" w:hAnsiTheme="minorEastAsia" w:hint="eastAsia"/>
          <w:sz w:val="24"/>
          <w:szCs w:val="24"/>
        </w:rPr>
        <w:t>/750)</w:t>
      </w:r>
      <w:r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100</w:t>
      </w:r>
      <w:r>
        <w:rPr>
          <w:rFonts w:asciiTheme="minorEastAsia" w:eastAsiaTheme="minorEastAsia" w:hAnsiTheme="minorEastAsia" w:hint="eastAsia"/>
          <w:sz w:val="24"/>
          <w:szCs w:val="24"/>
        </w:rPr>
        <w:t>）占</w:t>
      </w:r>
      <w:r>
        <w:rPr>
          <w:rFonts w:asciiTheme="minorEastAsia" w:eastAsiaTheme="minorEastAsia" w:hAnsiTheme="minorEastAsia" w:hint="eastAsia"/>
          <w:sz w:val="24"/>
          <w:szCs w:val="24"/>
        </w:rPr>
        <w:t>95%</w:t>
      </w:r>
      <w:r>
        <w:rPr>
          <w:rFonts w:asciiTheme="minorEastAsia" w:eastAsiaTheme="minorEastAsia" w:hAnsiTheme="minorEastAsia" w:hint="eastAsia"/>
          <w:sz w:val="24"/>
          <w:szCs w:val="24"/>
        </w:rPr>
        <w:t>、第一学期《高等数学》期中考试分数（总分</w:t>
      </w:r>
      <w:r>
        <w:rPr>
          <w:rFonts w:asciiTheme="minorEastAsia" w:eastAsiaTheme="minorEastAsia" w:hAnsiTheme="minorEastAsia" w:hint="eastAsia"/>
          <w:sz w:val="24"/>
          <w:szCs w:val="24"/>
        </w:rPr>
        <w:t>100</w:t>
      </w:r>
      <w:r>
        <w:rPr>
          <w:rFonts w:asciiTheme="minorEastAsia" w:eastAsiaTheme="minorEastAsia" w:hAnsiTheme="minorEastAsia" w:hint="eastAsia"/>
          <w:sz w:val="24"/>
          <w:szCs w:val="24"/>
        </w:rPr>
        <w:t>分）占</w:t>
      </w:r>
      <w:r>
        <w:rPr>
          <w:rFonts w:asciiTheme="minorEastAsia" w:eastAsiaTheme="minorEastAsia" w:hAnsiTheme="minorEastAsia" w:hint="eastAsia"/>
          <w:sz w:val="24"/>
          <w:szCs w:val="24"/>
        </w:rPr>
        <w:t>5%</w:t>
      </w:r>
      <w:r>
        <w:rPr>
          <w:rFonts w:asciiTheme="minorEastAsia" w:eastAsiaTheme="minorEastAsia" w:hAnsiTheme="minorEastAsia" w:hint="eastAsia"/>
          <w:sz w:val="24"/>
          <w:szCs w:val="24"/>
        </w:rPr>
        <w:t>来计算综合得分，从得分由高到低择优确认。没有被确认学生顺延至下一个没有确认满的志愿专业，按同样方法择优确认。如综合得分</w:t>
      </w: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相同（小数点后三位），则按高考位次号确认。每个学生第二轮必须按次序填满大类内所有志愿，且不得重复填报。</w:t>
      </w:r>
    </w:p>
    <w:p w14:paraId="428082CA" w14:textId="77777777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在第一轮中专业确认已完成的学生，不得放弃。</w:t>
      </w:r>
    </w:p>
    <w:p w14:paraId="5726697B" w14:textId="77777777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师范类工作小组将专业确认名单交健行书院予以公示，公示无异议后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交学校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专业确认工作领导小组审批，最后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交学校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教务处进行学生相应学籍确认处理。</w:t>
      </w:r>
    </w:p>
    <w:p w14:paraId="77A97550" w14:textId="0099D3A2" w:rsidR="00402810" w:rsidRDefault="00B45030">
      <w:pPr>
        <w:pStyle w:val="a8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师范类专业确</w:t>
      </w:r>
      <w:r>
        <w:rPr>
          <w:rFonts w:asciiTheme="minorEastAsia" w:eastAsiaTheme="minorEastAsia" w:hAnsiTheme="minorEastAsia" w:hint="eastAsia"/>
          <w:sz w:val="24"/>
          <w:szCs w:val="24"/>
        </w:rPr>
        <w:t>认工作在新生第一学期第</w:t>
      </w:r>
      <w:r w:rsidR="00CE5172">
        <w:rPr>
          <w:rFonts w:asciiTheme="minorEastAsia" w:eastAsiaTheme="minorEastAsia" w:hAnsiTheme="minorEastAsia"/>
          <w:sz w:val="24"/>
          <w:szCs w:val="24"/>
        </w:rPr>
        <w:t>15</w:t>
      </w:r>
      <w:r>
        <w:rPr>
          <w:rFonts w:asciiTheme="minorEastAsia" w:eastAsiaTheme="minorEastAsia" w:hAnsiTheme="minorEastAsia" w:hint="eastAsia"/>
          <w:sz w:val="24"/>
          <w:szCs w:val="24"/>
        </w:rPr>
        <w:t>教学周内完成。</w:t>
      </w:r>
    </w:p>
    <w:p w14:paraId="014C7DDE" w14:textId="77777777" w:rsidR="00402810" w:rsidRDefault="00B45030">
      <w:pPr>
        <w:pStyle w:val="a8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                    </w:t>
      </w:r>
    </w:p>
    <w:p w14:paraId="6E85640B" w14:textId="528CC2E9" w:rsidR="00402810" w:rsidRDefault="00B45030">
      <w:pPr>
        <w:pStyle w:val="a8"/>
        <w:ind w:leftChars="1638" w:left="4324" w:hangingChars="300" w:hanging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浙江工业大学师范大类专业确认小组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                  20</w:t>
      </w:r>
      <w:r w:rsidR="00CE5172">
        <w:rPr>
          <w:rFonts w:asciiTheme="minorEastAsia" w:eastAsiaTheme="minorEastAsia" w:hAnsiTheme="minor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CE5172">
        <w:rPr>
          <w:rFonts w:asciiTheme="minorEastAsia" w:eastAsiaTheme="minorEastAsia" w:hAnsiTheme="minorEastAsia"/>
          <w:sz w:val="24"/>
          <w:szCs w:val="24"/>
        </w:rPr>
        <w:t>0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>13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0E5BF542" w14:textId="77777777" w:rsidR="00402810" w:rsidRDefault="00B45030">
      <w:pPr>
        <w:pStyle w:val="a8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附</w:t>
      </w:r>
    </w:p>
    <w:p w14:paraId="78DC9C58" w14:textId="2173A511" w:rsidR="00402810" w:rsidRDefault="00B45030">
      <w:pPr>
        <w:pStyle w:val="a8"/>
        <w:ind w:leftChars="164" w:left="361" w:firstLineChars="500" w:firstLine="12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浙江工业大学</w:t>
      </w:r>
      <w:r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1F757D">
        <w:rPr>
          <w:rFonts w:asciiTheme="minorEastAsia" w:eastAsiaTheme="minorEastAsia" w:hAnsiTheme="minor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级师范类本科学生专业确认分配表</w:t>
      </w:r>
    </w:p>
    <w:tbl>
      <w:tblPr>
        <w:tblStyle w:val="a7"/>
        <w:tblW w:w="797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3009"/>
        <w:gridCol w:w="1417"/>
        <w:gridCol w:w="1701"/>
        <w:gridCol w:w="1843"/>
      </w:tblGrid>
      <w:tr w:rsidR="00402810" w14:paraId="6B7C045E" w14:textId="77777777">
        <w:tc>
          <w:tcPr>
            <w:tcW w:w="3009" w:type="dxa"/>
            <w:vMerge w:val="restart"/>
          </w:tcPr>
          <w:p w14:paraId="4266E516" w14:textId="77777777" w:rsidR="00402810" w:rsidRDefault="0040281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006F666C" w14:textId="77777777" w:rsidR="00402810" w:rsidRDefault="00B45030">
            <w:pPr>
              <w:pStyle w:val="a8"/>
              <w:spacing w:after="0"/>
              <w:ind w:firstLineChars="100" w:firstLine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包含专业名称</w:t>
            </w:r>
          </w:p>
        </w:tc>
        <w:tc>
          <w:tcPr>
            <w:tcW w:w="4961" w:type="dxa"/>
            <w:gridSpan w:val="3"/>
          </w:tcPr>
          <w:p w14:paraId="4CB8E027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专业接收计划</w:t>
            </w:r>
          </w:p>
        </w:tc>
      </w:tr>
      <w:tr w:rsidR="00402810" w14:paraId="3C878F8B" w14:textId="77777777">
        <w:tc>
          <w:tcPr>
            <w:tcW w:w="3009" w:type="dxa"/>
            <w:vMerge/>
          </w:tcPr>
          <w:p w14:paraId="0FC08B67" w14:textId="77777777" w:rsidR="00402810" w:rsidRDefault="0040281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8B0AEA1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总数</w:t>
            </w:r>
          </w:p>
        </w:tc>
        <w:tc>
          <w:tcPr>
            <w:tcW w:w="1701" w:type="dxa"/>
          </w:tcPr>
          <w:p w14:paraId="5D2849E0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第一轮计划</w:t>
            </w:r>
          </w:p>
        </w:tc>
        <w:tc>
          <w:tcPr>
            <w:tcW w:w="1843" w:type="dxa"/>
          </w:tcPr>
          <w:p w14:paraId="6DA70C16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第二轮计划</w:t>
            </w:r>
          </w:p>
        </w:tc>
      </w:tr>
      <w:tr w:rsidR="00402810" w14:paraId="0C4915D1" w14:textId="77777777">
        <w:tc>
          <w:tcPr>
            <w:tcW w:w="3009" w:type="dxa"/>
          </w:tcPr>
          <w:p w14:paraId="379AA289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教育技术学（师范）</w:t>
            </w:r>
          </w:p>
        </w:tc>
        <w:tc>
          <w:tcPr>
            <w:tcW w:w="1417" w:type="dxa"/>
          </w:tcPr>
          <w:p w14:paraId="425A2FD8" w14:textId="5F078974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14:paraId="18EA55A7" w14:textId="29BAA0E5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18</w:t>
            </w:r>
          </w:p>
        </w:tc>
        <w:tc>
          <w:tcPr>
            <w:tcW w:w="1843" w:type="dxa"/>
          </w:tcPr>
          <w:p w14:paraId="70E49585" w14:textId="7ACBEDF6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</w:tr>
      <w:tr w:rsidR="00402810" w14:paraId="5A869E6C" w14:textId="77777777">
        <w:tc>
          <w:tcPr>
            <w:tcW w:w="3009" w:type="dxa"/>
          </w:tcPr>
          <w:p w14:paraId="6AD6A833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电气工程及其自动化（师范）</w:t>
            </w:r>
          </w:p>
        </w:tc>
        <w:tc>
          <w:tcPr>
            <w:tcW w:w="1417" w:type="dxa"/>
          </w:tcPr>
          <w:p w14:paraId="47FF8BFC" w14:textId="57CB5A2A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14:paraId="31AA2C46" w14:textId="179D18CF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18</w:t>
            </w:r>
          </w:p>
        </w:tc>
        <w:tc>
          <w:tcPr>
            <w:tcW w:w="1843" w:type="dxa"/>
          </w:tcPr>
          <w:p w14:paraId="68713838" w14:textId="2E7A4CE8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</w:tr>
      <w:tr w:rsidR="00402810" w14:paraId="0F68AC1E" w14:textId="77777777">
        <w:tc>
          <w:tcPr>
            <w:tcW w:w="3009" w:type="dxa"/>
          </w:tcPr>
          <w:p w14:paraId="79788C84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机械工程（师范）</w:t>
            </w:r>
          </w:p>
        </w:tc>
        <w:tc>
          <w:tcPr>
            <w:tcW w:w="1417" w:type="dxa"/>
          </w:tcPr>
          <w:p w14:paraId="20B3AAC0" w14:textId="7FF6027A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35</w:t>
            </w:r>
          </w:p>
        </w:tc>
        <w:tc>
          <w:tcPr>
            <w:tcW w:w="1701" w:type="dxa"/>
          </w:tcPr>
          <w:p w14:paraId="27AA58E6" w14:textId="67F1E5C8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1843" w:type="dxa"/>
          </w:tcPr>
          <w:p w14:paraId="4D213E87" w14:textId="08A8CC4D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</w:tr>
      <w:tr w:rsidR="00402810" w14:paraId="266D6CB7" w14:textId="77777777">
        <w:tc>
          <w:tcPr>
            <w:tcW w:w="3009" w:type="dxa"/>
          </w:tcPr>
          <w:p w14:paraId="3D9FC407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计算机科学与技术（师范）</w:t>
            </w:r>
          </w:p>
        </w:tc>
        <w:tc>
          <w:tcPr>
            <w:tcW w:w="1417" w:type="dxa"/>
          </w:tcPr>
          <w:p w14:paraId="3530252C" w14:textId="30D534BC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14:paraId="130EE0A7" w14:textId="63B55250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1843" w:type="dxa"/>
          </w:tcPr>
          <w:p w14:paraId="3CCD2E13" w14:textId="29DC70EF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</w:tr>
      <w:tr w:rsidR="00402810" w14:paraId="35E42EE4" w14:textId="77777777">
        <w:tc>
          <w:tcPr>
            <w:tcW w:w="3009" w:type="dxa"/>
          </w:tcPr>
          <w:p w14:paraId="4EF06BD7" w14:textId="77777777" w:rsidR="00402810" w:rsidRDefault="00B45030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合计</w:t>
            </w:r>
          </w:p>
        </w:tc>
        <w:tc>
          <w:tcPr>
            <w:tcW w:w="1417" w:type="dxa"/>
          </w:tcPr>
          <w:p w14:paraId="7865FC41" w14:textId="1CC97728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40</w:t>
            </w:r>
          </w:p>
        </w:tc>
        <w:tc>
          <w:tcPr>
            <w:tcW w:w="1701" w:type="dxa"/>
          </w:tcPr>
          <w:p w14:paraId="7B8B520E" w14:textId="61F0BC22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1843" w:type="dxa"/>
          </w:tcPr>
          <w:p w14:paraId="2AD7DA73" w14:textId="0495F2F4" w:rsidR="00402810" w:rsidRDefault="00171122">
            <w:pPr>
              <w:pStyle w:val="a8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</w:tr>
    </w:tbl>
    <w:p w14:paraId="0DE7B4C0" w14:textId="77777777" w:rsidR="00402810" w:rsidRDefault="00402810">
      <w:pPr>
        <w:pStyle w:val="a8"/>
        <w:ind w:left="360" w:firstLineChars="0" w:firstLine="0"/>
        <w:jc w:val="center"/>
        <w:rPr>
          <w:rFonts w:asciiTheme="minorEastAsia" w:eastAsiaTheme="minorEastAsia" w:hAnsiTheme="minorEastAsia"/>
          <w:color w:val="FF0000"/>
          <w:sz w:val="24"/>
          <w:szCs w:val="24"/>
        </w:rPr>
      </w:pPr>
    </w:p>
    <w:sectPr w:rsidR="00402810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F30FB"/>
    <w:multiLevelType w:val="multilevel"/>
    <w:tmpl w:val="0C1F30F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31"/>
    <w:rsid w:val="000478A7"/>
    <w:rsid w:val="00057DBD"/>
    <w:rsid w:val="000853B2"/>
    <w:rsid w:val="00125235"/>
    <w:rsid w:val="00132B22"/>
    <w:rsid w:val="00164C88"/>
    <w:rsid w:val="00171122"/>
    <w:rsid w:val="00195C12"/>
    <w:rsid w:val="001B3011"/>
    <w:rsid w:val="001B4282"/>
    <w:rsid w:val="001F1244"/>
    <w:rsid w:val="001F757D"/>
    <w:rsid w:val="00243F99"/>
    <w:rsid w:val="002508B6"/>
    <w:rsid w:val="002A2431"/>
    <w:rsid w:val="002A3CB6"/>
    <w:rsid w:val="002A78BA"/>
    <w:rsid w:val="00323B43"/>
    <w:rsid w:val="00330BB2"/>
    <w:rsid w:val="00371131"/>
    <w:rsid w:val="003D37D8"/>
    <w:rsid w:val="003E0C9C"/>
    <w:rsid w:val="003F0017"/>
    <w:rsid w:val="00402810"/>
    <w:rsid w:val="004332A0"/>
    <w:rsid w:val="004358AB"/>
    <w:rsid w:val="004511A8"/>
    <w:rsid w:val="004A52F7"/>
    <w:rsid w:val="005A17CD"/>
    <w:rsid w:val="005A48B4"/>
    <w:rsid w:val="006417D1"/>
    <w:rsid w:val="006C6D66"/>
    <w:rsid w:val="006E75B8"/>
    <w:rsid w:val="00722B59"/>
    <w:rsid w:val="0073123A"/>
    <w:rsid w:val="007A091B"/>
    <w:rsid w:val="007B77E2"/>
    <w:rsid w:val="007E5B38"/>
    <w:rsid w:val="00813400"/>
    <w:rsid w:val="00837EC1"/>
    <w:rsid w:val="008508AE"/>
    <w:rsid w:val="008A5B71"/>
    <w:rsid w:val="008B7726"/>
    <w:rsid w:val="008F3858"/>
    <w:rsid w:val="00915FEF"/>
    <w:rsid w:val="00946726"/>
    <w:rsid w:val="009768AC"/>
    <w:rsid w:val="009C4DBC"/>
    <w:rsid w:val="009F64B4"/>
    <w:rsid w:val="00A2241C"/>
    <w:rsid w:val="00A2293E"/>
    <w:rsid w:val="00A25CD0"/>
    <w:rsid w:val="00A473FC"/>
    <w:rsid w:val="00A54FBE"/>
    <w:rsid w:val="00A66C9D"/>
    <w:rsid w:val="00A80737"/>
    <w:rsid w:val="00A9387E"/>
    <w:rsid w:val="00AA382E"/>
    <w:rsid w:val="00B45030"/>
    <w:rsid w:val="00B60606"/>
    <w:rsid w:val="00B81272"/>
    <w:rsid w:val="00C02198"/>
    <w:rsid w:val="00C527DA"/>
    <w:rsid w:val="00C86E6F"/>
    <w:rsid w:val="00CB3292"/>
    <w:rsid w:val="00CE3B87"/>
    <w:rsid w:val="00CE5172"/>
    <w:rsid w:val="00D627DE"/>
    <w:rsid w:val="00D70993"/>
    <w:rsid w:val="00DB2EC5"/>
    <w:rsid w:val="00E52757"/>
    <w:rsid w:val="00E956F4"/>
    <w:rsid w:val="00EA77CE"/>
    <w:rsid w:val="00ED3462"/>
    <w:rsid w:val="00EE3A78"/>
    <w:rsid w:val="00F17B5B"/>
    <w:rsid w:val="00F531C9"/>
    <w:rsid w:val="00F917BB"/>
    <w:rsid w:val="00FE23AB"/>
    <w:rsid w:val="25C57B6B"/>
    <w:rsid w:val="60C3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0AEC5"/>
  <w15:docId w15:val="{B79F4A0D-A972-49D3-8F80-AF7BA0F9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1254</Characters>
  <Application>Microsoft Office Word</Application>
  <DocSecurity>0</DocSecurity>
  <Lines>10</Lines>
  <Paragraphs>2</Paragraphs>
  <ScaleCrop>false</ScaleCrop>
  <Company>zjut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mathteacher</dc:creator>
  <cp:lastModifiedBy>dell</cp:lastModifiedBy>
  <cp:revision>2</cp:revision>
  <cp:lastPrinted>2020-10-26T01:26:00Z</cp:lastPrinted>
  <dcterms:created xsi:type="dcterms:W3CDTF">2020-10-27T00:55:00Z</dcterms:created>
  <dcterms:modified xsi:type="dcterms:W3CDTF">2020-10-27T00:55:00Z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