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EF5D1">
      <w:pPr>
        <w:pStyle w:val="16"/>
        <w:spacing w:line="360" w:lineRule="auto"/>
        <w:rPr>
          <w:rFonts w:ascii="Times New Roman" w:hAnsi="Times New Roman" w:eastAsia="仿宋_GB2312"/>
          <w:bCs w:val="0"/>
          <w:sz w:val="36"/>
          <w:szCs w:val="36"/>
        </w:rPr>
      </w:pPr>
      <w:r>
        <w:rPr>
          <w:rFonts w:ascii="Times New Roman" w:hAnsi="Times New Roman" w:eastAsia="仿宋_GB2312"/>
          <w:bCs w:val="0"/>
          <w:sz w:val="36"/>
          <w:szCs w:val="36"/>
        </w:rPr>
        <w:t>机械工程学院2024级学生专业确认实施细则</w:t>
      </w:r>
    </w:p>
    <w:p w14:paraId="69693411">
      <w:pPr>
        <w:spacing w:line="360" w:lineRule="auto"/>
        <w:jc w:val="center"/>
        <w:rPr>
          <w:sz w:val="28"/>
          <w:szCs w:val="28"/>
        </w:rPr>
      </w:pPr>
    </w:p>
    <w:p w14:paraId="76BF1B2B">
      <w:pPr>
        <w:adjustRightInd w:val="0"/>
        <w:snapToGrid w:val="0"/>
        <w:spacing w:line="360" w:lineRule="auto"/>
        <w:ind w:firstLine="560" w:firstLineChars="200"/>
        <w:rPr>
          <w:sz w:val="28"/>
          <w:szCs w:val="28"/>
        </w:rPr>
      </w:pPr>
      <w:r>
        <w:rPr>
          <w:sz w:val="28"/>
          <w:szCs w:val="28"/>
        </w:rPr>
        <w:t>为适应高考综合改革进一步深化后的人才培养需要，贯彻落实浙江工业大学第八次党代会、第九届本科教育工作会议精神，深化本科教育体系改革，尊重学生的选择权和激发学生学习的主动性，确保</w:t>
      </w:r>
      <w:r>
        <w:rPr>
          <w:rFonts w:hint="eastAsia"/>
          <w:sz w:val="28"/>
          <w:szCs w:val="28"/>
        </w:rPr>
        <w:t>学院</w:t>
      </w:r>
      <w:r>
        <w:rPr>
          <w:sz w:val="28"/>
          <w:szCs w:val="28"/>
        </w:rPr>
        <w:t>专业确认工作的规范、有序，根据《浙江工业大学本科新生专业确认实施办法》，特制订本实施细则。</w:t>
      </w:r>
    </w:p>
    <w:p w14:paraId="0603C880">
      <w:pPr>
        <w:adjustRightInd w:val="0"/>
        <w:snapToGrid w:val="0"/>
        <w:spacing w:line="360" w:lineRule="auto"/>
        <w:outlineLvl w:val="0"/>
        <w:rPr>
          <w:b/>
          <w:bCs/>
          <w:sz w:val="28"/>
          <w:szCs w:val="28"/>
        </w:rPr>
      </w:pPr>
    </w:p>
    <w:p w14:paraId="79870AE8">
      <w:pPr>
        <w:adjustRightInd w:val="0"/>
        <w:snapToGrid w:val="0"/>
        <w:spacing w:line="360" w:lineRule="auto"/>
        <w:outlineLvl w:val="0"/>
        <w:rPr>
          <w:b/>
          <w:bCs/>
          <w:sz w:val="28"/>
          <w:szCs w:val="28"/>
        </w:rPr>
      </w:pPr>
      <w:r>
        <w:rPr>
          <w:b/>
          <w:bCs/>
          <w:sz w:val="28"/>
          <w:szCs w:val="28"/>
        </w:rPr>
        <w:t>一、组织与领导</w:t>
      </w:r>
    </w:p>
    <w:p w14:paraId="4CBA6609">
      <w:pPr>
        <w:adjustRightInd w:val="0"/>
        <w:snapToGrid w:val="0"/>
        <w:spacing w:line="360" w:lineRule="auto"/>
        <w:outlineLvl w:val="0"/>
        <w:rPr>
          <w:bCs/>
          <w:sz w:val="28"/>
          <w:szCs w:val="28"/>
        </w:rPr>
      </w:pPr>
      <w:r>
        <w:rPr>
          <w:sz w:val="28"/>
          <w:szCs w:val="28"/>
        </w:rPr>
        <w:t xml:space="preserve">    学院专业确认工作小组全面组织实施</w:t>
      </w:r>
      <w:r>
        <w:rPr>
          <w:rFonts w:hint="eastAsia"/>
          <w:sz w:val="28"/>
          <w:szCs w:val="28"/>
        </w:rPr>
        <w:t>专业确认</w:t>
      </w:r>
      <w:r>
        <w:rPr>
          <w:sz w:val="28"/>
          <w:szCs w:val="28"/>
        </w:rPr>
        <w:t>工作。</w:t>
      </w:r>
    </w:p>
    <w:p w14:paraId="25E93592">
      <w:pPr>
        <w:tabs>
          <w:tab w:val="left" w:pos="1149"/>
        </w:tabs>
        <w:adjustRightInd w:val="0"/>
        <w:snapToGrid w:val="0"/>
        <w:spacing w:line="360" w:lineRule="auto"/>
        <w:ind w:firstLine="555"/>
        <w:rPr>
          <w:sz w:val="28"/>
          <w:szCs w:val="28"/>
        </w:rPr>
      </w:pPr>
      <w:r>
        <w:rPr>
          <w:sz w:val="28"/>
          <w:szCs w:val="28"/>
        </w:rPr>
        <w:t>组长：谭大鹏</w:t>
      </w:r>
    </w:p>
    <w:p w14:paraId="7EB8F4C2">
      <w:pPr>
        <w:tabs>
          <w:tab w:val="left" w:pos="1149"/>
        </w:tabs>
        <w:adjustRightInd w:val="0"/>
        <w:snapToGrid w:val="0"/>
        <w:spacing w:line="360" w:lineRule="auto"/>
        <w:ind w:firstLine="555"/>
        <w:rPr>
          <w:sz w:val="28"/>
          <w:szCs w:val="28"/>
        </w:rPr>
      </w:pPr>
      <w:r>
        <w:rPr>
          <w:sz w:val="28"/>
          <w:szCs w:val="28"/>
        </w:rPr>
        <w:t>副组长：李曰兵、夏</w:t>
      </w:r>
      <w:r>
        <w:rPr>
          <w:rFonts w:hint="eastAsia"/>
          <w:sz w:val="28"/>
          <w:szCs w:val="28"/>
          <w:lang w:val="en-US" w:eastAsia="zh-CN"/>
        </w:rPr>
        <w:t xml:space="preserve">  </w:t>
      </w:r>
      <w:r>
        <w:rPr>
          <w:sz w:val="28"/>
          <w:szCs w:val="28"/>
        </w:rPr>
        <w:t>航</w:t>
      </w:r>
    </w:p>
    <w:p w14:paraId="2D2694B8">
      <w:pPr>
        <w:tabs>
          <w:tab w:val="left" w:pos="1149"/>
        </w:tabs>
        <w:adjustRightInd w:val="0"/>
        <w:snapToGrid w:val="0"/>
        <w:spacing w:line="360" w:lineRule="auto"/>
        <w:ind w:firstLine="555"/>
        <w:rPr>
          <w:sz w:val="28"/>
          <w:szCs w:val="28"/>
        </w:rPr>
      </w:pPr>
      <w:r>
        <w:rPr>
          <w:sz w:val="28"/>
          <w:szCs w:val="28"/>
        </w:rPr>
        <w:t>成员：谭大鹏、章嫦华、李曰兵、夏  航、潘柏松、金伟娅、鲁建厦、华  夏、胡艳军、鲍官军</w:t>
      </w:r>
    </w:p>
    <w:p w14:paraId="59FD6F7A">
      <w:pPr>
        <w:tabs>
          <w:tab w:val="left" w:pos="360"/>
          <w:tab w:val="left" w:pos="1149"/>
        </w:tabs>
        <w:adjustRightInd w:val="0"/>
        <w:snapToGrid w:val="0"/>
        <w:spacing w:line="360" w:lineRule="auto"/>
        <w:rPr>
          <w:b/>
          <w:bCs/>
          <w:sz w:val="28"/>
          <w:szCs w:val="28"/>
        </w:rPr>
      </w:pPr>
    </w:p>
    <w:p w14:paraId="4CC521FF">
      <w:pPr>
        <w:tabs>
          <w:tab w:val="left" w:pos="360"/>
          <w:tab w:val="left" w:pos="1149"/>
        </w:tabs>
        <w:adjustRightInd w:val="0"/>
        <w:snapToGrid w:val="0"/>
        <w:spacing w:line="360" w:lineRule="auto"/>
        <w:rPr>
          <w:b/>
          <w:bCs/>
          <w:sz w:val="28"/>
          <w:szCs w:val="28"/>
        </w:rPr>
      </w:pPr>
      <w:r>
        <w:rPr>
          <w:b/>
          <w:bCs/>
          <w:sz w:val="28"/>
          <w:szCs w:val="28"/>
        </w:rPr>
        <w:t>二、专业确认原则</w:t>
      </w:r>
    </w:p>
    <w:p w14:paraId="41B60B9A">
      <w:pPr>
        <w:tabs>
          <w:tab w:val="left" w:pos="1149"/>
        </w:tabs>
        <w:adjustRightInd w:val="0"/>
        <w:snapToGrid w:val="0"/>
        <w:spacing w:line="360" w:lineRule="auto"/>
        <w:ind w:firstLine="555"/>
        <w:rPr>
          <w:sz w:val="28"/>
          <w:szCs w:val="28"/>
        </w:rPr>
      </w:pPr>
      <w:r>
        <w:rPr>
          <w:sz w:val="28"/>
          <w:szCs w:val="28"/>
        </w:rPr>
        <w:t>1. 坚持</w:t>
      </w:r>
      <w:r>
        <w:rPr>
          <w:rFonts w:hint="eastAsia"/>
          <w:sz w:val="28"/>
          <w:szCs w:val="28"/>
        </w:rPr>
        <w:t>公开、公平、公正原则。专业确认标准、方法、程序做到公开、公平、公正，结果公示；类内专业确认标准、方法、程序统一。</w:t>
      </w:r>
    </w:p>
    <w:p w14:paraId="7FE7F639">
      <w:pPr>
        <w:tabs>
          <w:tab w:val="left" w:pos="1149"/>
        </w:tabs>
        <w:adjustRightInd w:val="0"/>
        <w:snapToGrid w:val="0"/>
        <w:spacing w:line="360" w:lineRule="auto"/>
        <w:ind w:firstLine="555"/>
        <w:rPr>
          <w:sz w:val="28"/>
          <w:szCs w:val="28"/>
        </w:rPr>
      </w:pPr>
      <w:r>
        <w:rPr>
          <w:sz w:val="28"/>
          <w:szCs w:val="28"/>
        </w:rPr>
        <w:t>2. 坚持志愿优先，成绩兼顾，择优</w:t>
      </w:r>
      <w:r>
        <w:rPr>
          <w:rFonts w:hint="eastAsia"/>
          <w:sz w:val="28"/>
          <w:szCs w:val="28"/>
        </w:rPr>
        <w:t>准入</w:t>
      </w:r>
      <w:r>
        <w:rPr>
          <w:sz w:val="28"/>
          <w:szCs w:val="28"/>
        </w:rPr>
        <w:t>的原则。</w:t>
      </w:r>
      <w:r>
        <w:rPr>
          <w:rFonts w:hint="eastAsia"/>
          <w:sz w:val="28"/>
          <w:szCs w:val="28"/>
        </w:rPr>
        <w:t>尊重学生志愿，以高考成绩、专业学习潜质测评和进校后的学习表现等为依据分类、分批择优录取。</w:t>
      </w:r>
    </w:p>
    <w:p w14:paraId="5A5CF9EA">
      <w:pPr>
        <w:tabs>
          <w:tab w:val="left" w:pos="1149"/>
        </w:tabs>
        <w:adjustRightInd w:val="0"/>
        <w:snapToGrid w:val="0"/>
        <w:spacing w:line="360" w:lineRule="auto"/>
        <w:ind w:firstLine="555"/>
        <w:rPr>
          <w:sz w:val="28"/>
          <w:szCs w:val="28"/>
        </w:rPr>
      </w:pPr>
      <w:r>
        <w:rPr>
          <w:rFonts w:hint="eastAsia"/>
          <w:sz w:val="28"/>
          <w:szCs w:val="28"/>
        </w:rPr>
        <w:t>3</w:t>
      </w:r>
      <w:r>
        <w:rPr>
          <w:sz w:val="28"/>
          <w:szCs w:val="28"/>
        </w:rPr>
        <w:t>. 坚持专业教学师资、教学资源配置与社会人才需求相结合原则</w:t>
      </w:r>
      <w:r>
        <w:rPr>
          <w:rFonts w:hint="eastAsia"/>
          <w:sz w:val="28"/>
          <w:szCs w:val="28"/>
        </w:rPr>
        <w:t>，确定专业接收计划吸引优质生源</w:t>
      </w:r>
      <w:r>
        <w:rPr>
          <w:sz w:val="28"/>
          <w:szCs w:val="28"/>
        </w:rPr>
        <w:t>。</w:t>
      </w:r>
    </w:p>
    <w:p w14:paraId="77A649D9">
      <w:pPr>
        <w:adjustRightInd w:val="0"/>
        <w:snapToGrid w:val="0"/>
        <w:spacing w:line="360" w:lineRule="auto"/>
        <w:outlineLvl w:val="0"/>
        <w:rPr>
          <w:b/>
          <w:bCs/>
          <w:sz w:val="28"/>
          <w:szCs w:val="28"/>
        </w:rPr>
      </w:pPr>
    </w:p>
    <w:p w14:paraId="3BEC5D14">
      <w:pPr>
        <w:adjustRightInd w:val="0"/>
        <w:snapToGrid w:val="0"/>
        <w:spacing w:line="360" w:lineRule="auto"/>
        <w:outlineLvl w:val="0"/>
        <w:rPr>
          <w:b/>
          <w:sz w:val="28"/>
          <w:szCs w:val="28"/>
        </w:rPr>
      </w:pPr>
      <w:r>
        <w:rPr>
          <w:b/>
          <w:bCs/>
          <w:sz w:val="28"/>
          <w:szCs w:val="28"/>
        </w:rPr>
        <w:t>三、专业确认对象</w:t>
      </w:r>
    </w:p>
    <w:p w14:paraId="75BB89C0">
      <w:pPr>
        <w:tabs>
          <w:tab w:val="left" w:pos="360"/>
          <w:tab w:val="left" w:pos="1149"/>
        </w:tabs>
        <w:adjustRightInd w:val="0"/>
        <w:snapToGrid w:val="0"/>
        <w:spacing w:line="360" w:lineRule="auto"/>
        <w:ind w:firstLine="555"/>
        <w:rPr>
          <w:sz w:val="28"/>
          <w:szCs w:val="28"/>
        </w:rPr>
      </w:pPr>
      <w:r>
        <w:rPr>
          <w:sz w:val="28"/>
          <w:szCs w:val="28"/>
        </w:rPr>
        <w:t>1. 按“机械类”招生的浙江省普通高考生源、浙江省三位一体生源和省外生源共三类生源</w:t>
      </w:r>
      <w:r>
        <w:rPr>
          <w:rFonts w:hint="eastAsia"/>
          <w:sz w:val="28"/>
          <w:szCs w:val="28"/>
        </w:rPr>
        <w:t>均按</w:t>
      </w:r>
      <w:r>
        <w:rPr>
          <w:sz w:val="28"/>
          <w:szCs w:val="28"/>
        </w:rPr>
        <w:t>机械工程、过程装备与控制工程、车辆工程、能源与环境系统工程、工业工程、物流工程</w:t>
      </w:r>
      <w:r>
        <w:rPr>
          <w:rFonts w:hint="eastAsia"/>
          <w:sz w:val="28"/>
          <w:szCs w:val="28"/>
        </w:rPr>
        <w:t>共</w:t>
      </w:r>
      <w:r>
        <w:rPr>
          <w:sz w:val="28"/>
          <w:szCs w:val="28"/>
        </w:rPr>
        <w:t>6个专业进行确认。</w:t>
      </w:r>
    </w:p>
    <w:p w14:paraId="36A08183">
      <w:pPr>
        <w:tabs>
          <w:tab w:val="left" w:pos="360"/>
          <w:tab w:val="left" w:pos="1149"/>
        </w:tabs>
        <w:adjustRightInd w:val="0"/>
        <w:snapToGrid w:val="0"/>
        <w:spacing w:line="360" w:lineRule="auto"/>
        <w:ind w:firstLine="555"/>
        <w:rPr>
          <w:sz w:val="28"/>
          <w:szCs w:val="28"/>
        </w:rPr>
      </w:pPr>
      <w:r>
        <w:rPr>
          <w:sz w:val="28"/>
          <w:szCs w:val="28"/>
        </w:rPr>
        <w:t xml:space="preserve">2. </w:t>
      </w:r>
      <w:r>
        <w:rPr>
          <w:rFonts w:hint="eastAsia"/>
          <w:sz w:val="28"/>
          <w:szCs w:val="28"/>
        </w:rPr>
        <w:t>“</w:t>
      </w:r>
      <w:r>
        <w:rPr>
          <w:sz w:val="28"/>
          <w:szCs w:val="28"/>
        </w:rPr>
        <w:t>机器人工程</w:t>
      </w:r>
      <w:r>
        <w:rPr>
          <w:rFonts w:hint="eastAsia"/>
          <w:sz w:val="28"/>
          <w:szCs w:val="28"/>
        </w:rPr>
        <w:t>”</w:t>
      </w:r>
      <w:r>
        <w:rPr>
          <w:sz w:val="28"/>
          <w:szCs w:val="28"/>
        </w:rPr>
        <w:t>专业按机器人结构与控制方向、机器人感知与控制方向共2个方向进行确认。</w:t>
      </w:r>
    </w:p>
    <w:p w14:paraId="4A05BD51">
      <w:pPr>
        <w:tabs>
          <w:tab w:val="left" w:pos="360"/>
          <w:tab w:val="left" w:pos="1149"/>
        </w:tabs>
        <w:adjustRightInd w:val="0"/>
        <w:snapToGrid w:val="0"/>
        <w:spacing w:line="360" w:lineRule="auto"/>
        <w:ind w:firstLine="555"/>
        <w:rPr>
          <w:sz w:val="28"/>
          <w:szCs w:val="28"/>
        </w:rPr>
      </w:pPr>
      <w:r>
        <w:rPr>
          <w:rFonts w:hint="eastAsia"/>
          <w:sz w:val="28"/>
          <w:szCs w:val="28"/>
        </w:rPr>
        <w:t>3.</w:t>
      </w:r>
      <w:r>
        <w:rPr>
          <w:rFonts w:hint="eastAsia"/>
        </w:rPr>
        <w:t xml:space="preserve"> </w:t>
      </w:r>
      <w:r>
        <w:rPr>
          <w:rFonts w:hint="eastAsia"/>
          <w:sz w:val="28"/>
          <w:szCs w:val="28"/>
        </w:rPr>
        <w:t>参加专业确认的学生应参加《高等数学》和</w:t>
      </w:r>
      <w:r>
        <w:rPr>
          <w:sz w:val="28"/>
          <w:szCs w:val="28"/>
        </w:rPr>
        <w:t>《工程图学》</w:t>
      </w:r>
      <w:r>
        <w:rPr>
          <w:rFonts w:hint="eastAsia"/>
          <w:sz w:val="28"/>
          <w:szCs w:val="28"/>
        </w:rPr>
        <w:t>2门课程的期中考试，并取得相应成绩。</w:t>
      </w:r>
    </w:p>
    <w:p w14:paraId="588D9957">
      <w:pPr>
        <w:tabs>
          <w:tab w:val="left" w:pos="360"/>
          <w:tab w:val="left" w:pos="1149"/>
        </w:tabs>
        <w:adjustRightInd w:val="0"/>
        <w:snapToGrid w:val="0"/>
        <w:spacing w:line="360" w:lineRule="auto"/>
        <w:ind w:firstLine="555"/>
        <w:rPr>
          <w:sz w:val="28"/>
          <w:szCs w:val="28"/>
        </w:rPr>
      </w:pPr>
    </w:p>
    <w:p w14:paraId="777DA7BB">
      <w:pPr>
        <w:adjustRightInd w:val="0"/>
        <w:snapToGrid w:val="0"/>
        <w:spacing w:line="360" w:lineRule="auto"/>
        <w:outlineLvl w:val="0"/>
        <w:rPr>
          <w:b/>
          <w:sz w:val="28"/>
          <w:szCs w:val="28"/>
        </w:rPr>
      </w:pPr>
      <w:r>
        <w:rPr>
          <w:rFonts w:hint="eastAsia"/>
          <w:b/>
          <w:bCs/>
          <w:sz w:val="28"/>
          <w:szCs w:val="28"/>
        </w:rPr>
        <w:t>四</w:t>
      </w:r>
      <w:r>
        <w:rPr>
          <w:b/>
          <w:bCs/>
          <w:sz w:val="28"/>
          <w:szCs w:val="28"/>
        </w:rPr>
        <w:t>、专业确认</w:t>
      </w:r>
      <w:r>
        <w:rPr>
          <w:rFonts w:hint="eastAsia"/>
          <w:b/>
          <w:bCs/>
          <w:sz w:val="28"/>
          <w:szCs w:val="28"/>
        </w:rPr>
        <w:t>批次</w:t>
      </w:r>
    </w:p>
    <w:p w14:paraId="064A9D35">
      <w:pPr>
        <w:tabs>
          <w:tab w:val="left" w:pos="360"/>
          <w:tab w:val="left" w:pos="1149"/>
        </w:tabs>
        <w:adjustRightInd w:val="0"/>
        <w:snapToGrid w:val="0"/>
        <w:spacing w:line="360" w:lineRule="auto"/>
        <w:ind w:firstLine="555"/>
        <w:rPr>
          <w:sz w:val="28"/>
          <w:szCs w:val="28"/>
        </w:rPr>
      </w:pPr>
      <w:r>
        <w:rPr>
          <w:rFonts w:hint="eastAsia"/>
          <w:sz w:val="28"/>
          <w:szCs w:val="28"/>
        </w:rPr>
        <w:t>1. 专业确认按</w:t>
      </w:r>
      <w:r>
        <w:rPr>
          <w:sz w:val="28"/>
          <w:szCs w:val="28"/>
        </w:rPr>
        <w:t>浙江省普通高考生源类、浙江省三位一体生源类和省外生源类三类学生</w:t>
      </w:r>
      <w:r>
        <w:rPr>
          <w:rFonts w:hint="eastAsia"/>
          <w:sz w:val="28"/>
          <w:szCs w:val="28"/>
        </w:rPr>
        <w:t>各分两批进行。参加第一批次</w:t>
      </w:r>
      <w:r>
        <w:rPr>
          <w:sz w:val="28"/>
          <w:szCs w:val="28"/>
        </w:rPr>
        <w:t>专业确认的学生必须满足：《高等数学》</w:t>
      </w:r>
      <w:r>
        <w:rPr>
          <w:rFonts w:hint="eastAsia"/>
          <w:sz w:val="28"/>
          <w:szCs w:val="28"/>
        </w:rPr>
        <w:t>和</w:t>
      </w:r>
      <w:r>
        <w:rPr>
          <w:sz w:val="28"/>
          <w:szCs w:val="28"/>
        </w:rPr>
        <w:t>《工程图学》</w:t>
      </w:r>
      <w:r>
        <w:rPr>
          <w:rFonts w:hint="eastAsia"/>
          <w:sz w:val="28"/>
          <w:szCs w:val="28"/>
        </w:rPr>
        <w:t>两门</w:t>
      </w:r>
      <w:r>
        <w:rPr>
          <w:sz w:val="28"/>
          <w:szCs w:val="28"/>
        </w:rPr>
        <w:t>期中考试全部及格。</w:t>
      </w:r>
      <w:r>
        <w:rPr>
          <w:rFonts w:hint="eastAsia"/>
          <w:sz w:val="28"/>
          <w:szCs w:val="28"/>
          <w:highlight w:val="yellow"/>
        </w:rPr>
        <w:t>满足条件的学生必须参加第一轮专业确认，如果不参加视为放弃</w:t>
      </w:r>
      <w:r>
        <w:rPr>
          <w:rFonts w:hint="eastAsia"/>
          <w:sz w:val="28"/>
          <w:szCs w:val="28"/>
          <w:highlight w:val="yellow"/>
          <w:lang w:eastAsia="zh-CN"/>
        </w:rPr>
        <w:t>，</w:t>
      </w:r>
      <w:r>
        <w:rPr>
          <w:rFonts w:hint="eastAsia"/>
          <w:sz w:val="28"/>
          <w:szCs w:val="28"/>
          <w:highlight w:val="yellow"/>
        </w:rPr>
        <w:t>将由学院统一调配。</w:t>
      </w:r>
    </w:p>
    <w:p w14:paraId="393AF217">
      <w:pPr>
        <w:tabs>
          <w:tab w:val="left" w:pos="360"/>
          <w:tab w:val="left" w:pos="1149"/>
        </w:tabs>
        <w:adjustRightInd w:val="0"/>
        <w:snapToGrid w:val="0"/>
        <w:spacing w:line="360" w:lineRule="auto"/>
        <w:ind w:firstLine="555"/>
        <w:rPr>
          <w:sz w:val="28"/>
          <w:szCs w:val="28"/>
        </w:rPr>
      </w:pPr>
      <w:r>
        <w:rPr>
          <w:rFonts w:hint="eastAsia"/>
          <w:sz w:val="28"/>
          <w:szCs w:val="28"/>
        </w:rPr>
        <w:t>2. 参加第一批次专业确认的学生，按“机械类”招生的学生每人填报最多不超过3个志愿</w:t>
      </w:r>
      <w:r>
        <w:rPr>
          <w:rFonts w:hint="eastAsia"/>
          <w:sz w:val="28"/>
          <w:szCs w:val="28"/>
          <w:highlight w:val="yellow"/>
        </w:rPr>
        <w:t>，且不可重复</w:t>
      </w:r>
      <w:r>
        <w:rPr>
          <w:rFonts w:hint="eastAsia"/>
          <w:sz w:val="28"/>
          <w:szCs w:val="28"/>
        </w:rPr>
        <w:t>；“机器人工程”专业的学生每人可填报2个方向志愿</w:t>
      </w:r>
      <w:r>
        <w:rPr>
          <w:rFonts w:hint="eastAsia"/>
          <w:sz w:val="28"/>
          <w:szCs w:val="28"/>
          <w:highlight w:val="yellow"/>
        </w:rPr>
        <w:t>，且不可重复</w:t>
      </w:r>
      <w:r>
        <w:rPr>
          <w:rFonts w:hint="eastAsia"/>
          <w:sz w:val="28"/>
          <w:szCs w:val="28"/>
        </w:rPr>
        <w:t>。第二批次专业确认的学生，</w:t>
      </w:r>
      <w:r>
        <w:rPr>
          <w:sz w:val="28"/>
          <w:szCs w:val="28"/>
        </w:rPr>
        <w:t>按“机械类”招生的</w:t>
      </w:r>
      <w:r>
        <w:rPr>
          <w:rFonts w:hint="eastAsia"/>
          <w:sz w:val="28"/>
          <w:szCs w:val="28"/>
        </w:rPr>
        <w:t>学生</w:t>
      </w:r>
      <w:r>
        <w:rPr>
          <w:sz w:val="28"/>
          <w:szCs w:val="28"/>
        </w:rPr>
        <w:t>每人</w:t>
      </w:r>
      <w:r>
        <w:rPr>
          <w:rFonts w:hint="eastAsia"/>
          <w:sz w:val="28"/>
          <w:szCs w:val="28"/>
        </w:rPr>
        <w:t>应</w:t>
      </w:r>
      <w:r>
        <w:rPr>
          <w:sz w:val="28"/>
          <w:szCs w:val="28"/>
          <w:highlight w:val="yellow"/>
        </w:rPr>
        <w:t>填</w:t>
      </w:r>
      <w:r>
        <w:rPr>
          <w:rFonts w:hint="eastAsia"/>
          <w:sz w:val="28"/>
          <w:szCs w:val="28"/>
          <w:highlight w:val="yellow"/>
        </w:rPr>
        <w:t>满6</w:t>
      </w:r>
      <w:r>
        <w:rPr>
          <w:sz w:val="28"/>
          <w:szCs w:val="28"/>
          <w:highlight w:val="yellow"/>
        </w:rPr>
        <w:t>个志愿</w:t>
      </w:r>
      <w:r>
        <w:rPr>
          <w:rFonts w:hint="eastAsia"/>
          <w:sz w:val="28"/>
          <w:szCs w:val="28"/>
          <w:highlight w:val="yellow"/>
        </w:rPr>
        <w:t>，且不可重复</w:t>
      </w:r>
      <w:r>
        <w:rPr>
          <w:sz w:val="28"/>
          <w:szCs w:val="28"/>
        </w:rPr>
        <w:t>；</w:t>
      </w:r>
      <w:r>
        <w:rPr>
          <w:rFonts w:hint="eastAsia"/>
          <w:sz w:val="28"/>
          <w:szCs w:val="28"/>
        </w:rPr>
        <w:t>“</w:t>
      </w:r>
      <w:r>
        <w:rPr>
          <w:sz w:val="28"/>
          <w:szCs w:val="28"/>
        </w:rPr>
        <w:t>机器人工程</w:t>
      </w:r>
      <w:r>
        <w:rPr>
          <w:rFonts w:hint="eastAsia"/>
          <w:sz w:val="28"/>
          <w:szCs w:val="28"/>
        </w:rPr>
        <w:t>”</w:t>
      </w:r>
      <w:r>
        <w:rPr>
          <w:sz w:val="28"/>
          <w:szCs w:val="28"/>
        </w:rPr>
        <w:t>专业的学生每人</w:t>
      </w:r>
      <w:r>
        <w:rPr>
          <w:rFonts w:hint="eastAsia"/>
          <w:sz w:val="28"/>
          <w:szCs w:val="28"/>
        </w:rPr>
        <w:t>应</w:t>
      </w:r>
      <w:r>
        <w:rPr>
          <w:sz w:val="28"/>
          <w:szCs w:val="28"/>
          <w:highlight w:val="yellow"/>
        </w:rPr>
        <w:t>填</w:t>
      </w:r>
      <w:r>
        <w:rPr>
          <w:rFonts w:hint="eastAsia"/>
          <w:sz w:val="28"/>
          <w:szCs w:val="28"/>
          <w:highlight w:val="yellow"/>
        </w:rPr>
        <w:t>满2</w:t>
      </w:r>
      <w:r>
        <w:rPr>
          <w:sz w:val="28"/>
          <w:szCs w:val="28"/>
          <w:highlight w:val="yellow"/>
        </w:rPr>
        <w:t>个方向志愿</w:t>
      </w:r>
      <w:r>
        <w:rPr>
          <w:rFonts w:hint="eastAsia"/>
          <w:sz w:val="28"/>
          <w:szCs w:val="28"/>
          <w:highlight w:val="yellow"/>
        </w:rPr>
        <w:t>，且不可重复</w:t>
      </w:r>
      <w:r>
        <w:rPr>
          <w:sz w:val="28"/>
          <w:szCs w:val="28"/>
        </w:rPr>
        <w:t>。</w:t>
      </w:r>
    </w:p>
    <w:p w14:paraId="13E5C8FF">
      <w:pPr>
        <w:adjustRightInd w:val="0"/>
        <w:snapToGrid w:val="0"/>
        <w:spacing w:line="360" w:lineRule="auto"/>
        <w:ind w:firstLine="560" w:firstLineChars="200"/>
        <w:rPr>
          <w:sz w:val="28"/>
          <w:szCs w:val="28"/>
        </w:rPr>
      </w:pPr>
      <w:r>
        <w:rPr>
          <w:rFonts w:hint="eastAsia"/>
          <w:sz w:val="28"/>
          <w:szCs w:val="28"/>
        </w:rPr>
        <w:t xml:space="preserve">3. </w:t>
      </w:r>
      <w:r>
        <w:rPr>
          <w:sz w:val="28"/>
          <w:szCs w:val="28"/>
        </w:rPr>
        <w:t>高考总分位次号在全省前9000名(含)的浙江省进档考生或</w:t>
      </w:r>
      <w:r>
        <w:rPr>
          <w:color w:val="000000"/>
          <w:sz w:val="28"/>
          <w:szCs w:val="28"/>
        </w:rPr>
        <w:t>选考科目物理成绩100分的</w:t>
      </w:r>
      <w:r>
        <w:rPr>
          <w:sz w:val="28"/>
          <w:szCs w:val="28"/>
        </w:rPr>
        <w:t>浙江省进档考生</w:t>
      </w:r>
      <w:r>
        <w:rPr>
          <w:rFonts w:hint="eastAsia"/>
          <w:sz w:val="28"/>
          <w:szCs w:val="28"/>
        </w:rPr>
        <w:t>，在第一批次优先确认录取。</w:t>
      </w:r>
    </w:p>
    <w:p w14:paraId="6D1550B7">
      <w:pPr>
        <w:adjustRightInd w:val="0"/>
        <w:snapToGrid w:val="0"/>
        <w:spacing w:line="360" w:lineRule="auto"/>
        <w:ind w:firstLine="560" w:firstLineChars="200"/>
        <w:rPr>
          <w:sz w:val="28"/>
          <w:szCs w:val="28"/>
        </w:rPr>
      </w:pPr>
      <w:r>
        <w:rPr>
          <w:sz w:val="28"/>
          <w:szCs w:val="28"/>
        </w:rPr>
        <w:t>1） 高考总分位次号在全省前6000名(含)的浙江省进档考生，按照学生填报的专业志愿直接予以录取。</w:t>
      </w:r>
    </w:p>
    <w:p w14:paraId="65C67184">
      <w:pPr>
        <w:adjustRightInd w:val="0"/>
        <w:snapToGrid w:val="0"/>
        <w:spacing w:line="360" w:lineRule="auto"/>
        <w:ind w:firstLine="560" w:firstLineChars="200"/>
        <w:rPr>
          <w:color w:val="000000"/>
          <w:sz w:val="28"/>
          <w:szCs w:val="28"/>
        </w:rPr>
      </w:pPr>
      <w:r>
        <w:rPr>
          <w:color w:val="000000"/>
          <w:sz w:val="28"/>
          <w:szCs w:val="28"/>
        </w:rPr>
        <w:t>2） 选考科目物理成绩100分的学生，按照学生填报的专业志愿直接予以录取。</w:t>
      </w:r>
    </w:p>
    <w:p w14:paraId="27B1BE96">
      <w:pPr>
        <w:adjustRightInd w:val="0"/>
        <w:snapToGrid w:val="0"/>
        <w:spacing w:line="360" w:lineRule="auto"/>
        <w:ind w:firstLine="560" w:firstLineChars="200"/>
        <w:rPr>
          <w:sz w:val="28"/>
          <w:szCs w:val="28"/>
        </w:rPr>
      </w:pPr>
      <w:r>
        <w:rPr>
          <w:sz w:val="28"/>
          <w:szCs w:val="28"/>
        </w:rPr>
        <w:t>3） 高考总分位次号在全省前9000名(含)的浙江省进档考生，确保专业确认到学生所填的前两个专业的其中一个。</w:t>
      </w:r>
    </w:p>
    <w:p w14:paraId="35D23C6E">
      <w:pPr>
        <w:tabs>
          <w:tab w:val="left" w:pos="360"/>
          <w:tab w:val="left" w:pos="1149"/>
        </w:tabs>
        <w:adjustRightInd w:val="0"/>
        <w:snapToGrid w:val="0"/>
        <w:spacing w:line="360" w:lineRule="auto"/>
        <w:ind w:firstLine="555"/>
        <w:rPr>
          <w:sz w:val="28"/>
          <w:szCs w:val="28"/>
        </w:rPr>
      </w:pPr>
      <w:r>
        <w:rPr>
          <w:rFonts w:hint="eastAsia"/>
          <w:sz w:val="28"/>
          <w:szCs w:val="28"/>
        </w:rPr>
        <w:t>4. 第一批次内</w:t>
      </w:r>
      <w:r>
        <w:rPr>
          <w:sz w:val="28"/>
          <w:szCs w:val="28"/>
        </w:rPr>
        <w:t>按浙江省普通高考生源类、浙江省三位一体生源类和省外生源类三类学生的</w:t>
      </w:r>
      <w:r>
        <w:rPr>
          <w:rFonts w:hint="eastAsia"/>
          <w:sz w:val="28"/>
          <w:szCs w:val="28"/>
        </w:rPr>
        <w:t>依次按</w:t>
      </w:r>
      <w:r>
        <w:rPr>
          <w:sz w:val="28"/>
          <w:szCs w:val="28"/>
        </w:rPr>
        <w:t>高考</w:t>
      </w:r>
      <w:r>
        <w:rPr>
          <w:rFonts w:hint="eastAsia"/>
          <w:sz w:val="28"/>
          <w:szCs w:val="28"/>
        </w:rPr>
        <w:t>当量成绩、《高等数学》期中考试成绩、</w:t>
      </w:r>
      <w:r>
        <w:rPr>
          <w:sz w:val="28"/>
          <w:szCs w:val="28"/>
        </w:rPr>
        <w:t>《工程图学》</w:t>
      </w:r>
      <w:r>
        <w:rPr>
          <w:rFonts w:hint="eastAsia"/>
          <w:sz w:val="28"/>
          <w:szCs w:val="28"/>
        </w:rPr>
        <w:t>期中考试成绩课程成绩</w:t>
      </w:r>
      <w:r>
        <w:rPr>
          <w:sz w:val="28"/>
          <w:szCs w:val="28"/>
        </w:rPr>
        <w:t>排名</w:t>
      </w:r>
      <w:r>
        <w:rPr>
          <w:rFonts w:hint="eastAsia"/>
          <w:sz w:val="28"/>
          <w:szCs w:val="28"/>
        </w:rPr>
        <w:t>确认</w:t>
      </w:r>
      <w:r>
        <w:rPr>
          <w:sz w:val="28"/>
          <w:szCs w:val="28"/>
        </w:rPr>
        <w:t>。</w:t>
      </w:r>
      <w:r>
        <w:rPr>
          <w:rFonts w:hint="eastAsia"/>
          <w:sz w:val="28"/>
          <w:szCs w:val="28"/>
        </w:rPr>
        <w:t>三类生源学生的</w:t>
      </w:r>
      <w:r>
        <w:rPr>
          <w:sz w:val="28"/>
          <w:szCs w:val="28"/>
        </w:rPr>
        <w:t>高考</w:t>
      </w:r>
      <w:r>
        <w:rPr>
          <w:rFonts w:hint="eastAsia"/>
          <w:sz w:val="28"/>
          <w:szCs w:val="28"/>
        </w:rPr>
        <w:t>当量成绩计算方法详见附件1。</w:t>
      </w:r>
    </w:p>
    <w:p w14:paraId="26BE936A">
      <w:pPr>
        <w:tabs>
          <w:tab w:val="left" w:pos="360"/>
          <w:tab w:val="left" w:pos="1149"/>
        </w:tabs>
        <w:adjustRightInd w:val="0"/>
        <w:snapToGrid w:val="0"/>
        <w:spacing w:line="360" w:lineRule="auto"/>
        <w:ind w:firstLine="555"/>
        <w:rPr>
          <w:sz w:val="28"/>
          <w:szCs w:val="28"/>
        </w:rPr>
      </w:pPr>
      <w:r>
        <w:rPr>
          <w:rFonts w:hint="eastAsia"/>
          <w:sz w:val="28"/>
          <w:szCs w:val="28"/>
        </w:rPr>
        <w:t>优先高考当量成绩排名确认；</w:t>
      </w:r>
      <w:r>
        <w:rPr>
          <w:sz w:val="28"/>
          <w:szCs w:val="28"/>
        </w:rPr>
        <w:t>如高考成绩相同，按《高等数学》期中考试成绩排名确认；如高考成绩和《高等数学》期中考试成绩均相同，则按《工程图学》期中考试成绩排名确认；如三项成绩均相同，则按同一排名一并确认录取。</w:t>
      </w:r>
    </w:p>
    <w:p w14:paraId="76164B5E">
      <w:pPr>
        <w:tabs>
          <w:tab w:val="left" w:pos="360"/>
          <w:tab w:val="left" w:pos="1149"/>
        </w:tabs>
        <w:adjustRightInd w:val="0"/>
        <w:snapToGrid w:val="0"/>
        <w:spacing w:line="360" w:lineRule="auto"/>
        <w:ind w:firstLine="555"/>
        <w:rPr>
          <w:sz w:val="28"/>
          <w:szCs w:val="28"/>
        </w:rPr>
      </w:pPr>
      <w:r>
        <w:rPr>
          <w:rFonts w:hint="eastAsia"/>
          <w:sz w:val="28"/>
          <w:szCs w:val="28"/>
        </w:rPr>
        <w:t>5. 未被第一批次确认的学生进入第二批次确认。第二批次按三类生源</w:t>
      </w:r>
      <w:r>
        <w:rPr>
          <w:sz w:val="28"/>
          <w:szCs w:val="28"/>
        </w:rPr>
        <w:t>学生的综合</w:t>
      </w:r>
      <w:r>
        <w:rPr>
          <w:rFonts w:hint="eastAsia"/>
          <w:sz w:val="28"/>
          <w:szCs w:val="28"/>
        </w:rPr>
        <w:t>成绩</w:t>
      </w:r>
      <w:r>
        <w:rPr>
          <w:sz w:val="28"/>
          <w:szCs w:val="28"/>
        </w:rPr>
        <w:t>排名</w:t>
      </w:r>
      <w:r>
        <w:rPr>
          <w:rFonts w:hint="eastAsia"/>
          <w:sz w:val="28"/>
          <w:szCs w:val="28"/>
        </w:rPr>
        <w:t>。</w:t>
      </w:r>
    </w:p>
    <w:p w14:paraId="7E2D045B">
      <w:pPr>
        <w:adjustRightInd w:val="0"/>
        <w:snapToGrid w:val="0"/>
        <w:spacing w:line="360" w:lineRule="auto"/>
        <w:ind w:firstLine="560" w:firstLineChars="200"/>
        <w:rPr>
          <w:sz w:val="28"/>
          <w:szCs w:val="28"/>
        </w:rPr>
      </w:pPr>
      <w:r>
        <w:rPr>
          <w:sz w:val="28"/>
          <w:szCs w:val="28"/>
          <w:highlight w:val="yellow"/>
        </w:rPr>
        <w:t>综合</w:t>
      </w:r>
      <w:r>
        <w:rPr>
          <w:rFonts w:hint="eastAsia"/>
          <w:sz w:val="28"/>
          <w:szCs w:val="28"/>
          <w:highlight w:val="yellow"/>
        </w:rPr>
        <w:t>成绩</w:t>
      </w:r>
      <w:r>
        <w:rPr>
          <w:sz w:val="28"/>
          <w:szCs w:val="28"/>
          <w:highlight w:val="yellow"/>
        </w:rPr>
        <w:t>=高考当量成绩（详见附件1）</w:t>
      </w:r>
      <w:r>
        <w:rPr>
          <w:sz w:val="28"/>
          <w:szCs w:val="28"/>
          <w:highlight w:val="yellow"/>
        </w:rPr>
        <w:sym w:font="Symbol" w:char="F0B4"/>
      </w:r>
      <w:r>
        <w:rPr>
          <w:rFonts w:hint="eastAsia"/>
          <w:sz w:val="28"/>
          <w:szCs w:val="28"/>
          <w:highlight w:val="yellow"/>
        </w:rPr>
        <w:t>70</w:t>
      </w:r>
      <w:r>
        <w:rPr>
          <w:sz w:val="28"/>
          <w:szCs w:val="28"/>
          <w:highlight w:val="yellow"/>
        </w:rPr>
        <w:t>%+《高等数学》期中考试成绩（满分100分）</w:t>
      </w:r>
      <w:r>
        <w:rPr>
          <w:sz w:val="28"/>
          <w:szCs w:val="28"/>
          <w:highlight w:val="yellow"/>
        </w:rPr>
        <w:sym w:font="Symbol" w:char="F0B4"/>
      </w:r>
      <w:r>
        <w:rPr>
          <w:sz w:val="28"/>
          <w:szCs w:val="28"/>
          <w:highlight w:val="yellow"/>
        </w:rPr>
        <w:t>1</w:t>
      </w:r>
      <w:r>
        <w:rPr>
          <w:rFonts w:hint="eastAsia"/>
          <w:sz w:val="28"/>
          <w:szCs w:val="28"/>
          <w:highlight w:val="yellow"/>
        </w:rPr>
        <w:t>5</w:t>
      </w:r>
      <w:r>
        <w:rPr>
          <w:sz w:val="28"/>
          <w:szCs w:val="28"/>
          <w:highlight w:val="yellow"/>
        </w:rPr>
        <w:t>%+《工程图学》期中考试（满分100分）</w:t>
      </w:r>
      <w:r>
        <w:rPr>
          <w:sz w:val="28"/>
          <w:szCs w:val="28"/>
          <w:highlight w:val="yellow"/>
        </w:rPr>
        <w:sym w:font="Symbol" w:char="F0B4"/>
      </w:r>
      <w:r>
        <w:rPr>
          <w:sz w:val="28"/>
          <w:szCs w:val="28"/>
          <w:highlight w:val="yellow"/>
        </w:rPr>
        <w:t>1</w:t>
      </w:r>
      <w:r>
        <w:rPr>
          <w:rFonts w:hint="eastAsia"/>
          <w:sz w:val="28"/>
          <w:szCs w:val="28"/>
          <w:highlight w:val="yellow"/>
        </w:rPr>
        <w:t>5</w:t>
      </w:r>
      <w:r>
        <w:rPr>
          <w:sz w:val="28"/>
          <w:szCs w:val="28"/>
          <w:highlight w:val="yellow"/>
        </w:rPr>
        <w:t>%</w:t>
      </w:r>
    </w:p>
    <w:p w14:paraId="200D18B0">
      <w:pPr>
        <w:tabs>
          <w:tab w:val="left" w:pos="4395"/>
        </w:tabs>
        <w:adjustRightInd w:val="0"/>
        <w:snapToGrid w:val="0"/>
        <w:spacing w:line="360" w:lineRule="auto"/>
        <w:ind w:firstLine="560" w:firstLineChars="200"/>
        <w:rPr>
          <w:sz w:val="28"/>
          <w:szCs w:val="28"/>
        </w:rPr>
      </w:pPr>
      <w:r>
        <w:rPr>
          <w:sz w:val="28"/>
          <w:szCs w:val="28"/>
        </w:rPr>
        <w:t>如类内综合成绩相同</w:t>
      </w:r>
      <w:r>
        <w:rPr>
          <w:rFonts w:hint="eastAsia"/>
          <w:sz w:val="28"/>
          <w:szCs w:val="28"/>
        </w:rPr>
        <w:t>且</w:t>
      </w:r>
      <w:r>
        <w:rPr>
          <w:sz w:val="28"/>
          <w:szCs w:val="28"/>
        </w:rPr>
        <w:t>高考当量成绩相同，按《高等数学》期中考试成绩排名确认；如高考当量成绩和《高等数学》期中考试成绩均相同，则按《工程图学》期中考试成绩排名确认；如三项成绩均相同，则按同一排名一并确认录取。</w:t>
      </w:r>
    </w:p>
    <w:p w14:paraId="666D2F9B">
      <w:pPr>
        <w:tabs>
          <w:tab w:val="left" w:pos="4395"/>
        </w:tabs>
        <w:adjustRightInd w:val="0"/>
        <w:snapToGrid w:val="0"/>
        <w:spacing w:line="360" w:lineRule="auto"/>
        <w:ind w:firstLine="560" w:firstLineChars="200"/>
        <w:rPr>
          <w:sz w:val="28"/>
          <w:szCs w:val="28"/>
        </w:rPr>
      </w:pPr>
      <w:r>
        <w:rPr>
          <w:rFonts w:hint="eastAsia"/>
          <w:sz w:val="28"/>
          <w:szCs w:val="28"/>
        </w:rPr>
        <w:t xml:space="preserve">6. </w:t>
      </w:r>
      <w:r>
        <w:rPr>
          <w:sz w:val="28"/>
          <w:szCs w:val="28"/>
        </w:rPr>
        <w:t>在浙江省普通高考生源类、浙江省三位一体生源类和省外生源类三类中按志愿优先的原则，根据综合</w:t>
      </w:r>
      <w:r>
        <w:rPr>
          <w:rFonts w:hint="eastAsia"/>
          <w:sz w:val="28"/>
          <w:szCs w:val="28"/>
        </w:rPr>
        <w:t>成绩</w:t>
      </w:r>
      <w:r>
        <w:rPr>
          <w:sz w:val="28"/>
          <w:szCs w:val="28"/>
        </w:rPr>
        <w:t>排名择优录取。当申请学生数超过本轮专业招生数时，依据综合</w:t>
      </w:r>
      <w:r>
        <w:rPr>
          <w:rFonts w:hint="eastAsia"/>
          <w:sz w:val="28"/>
          <w:szCs w:val="28"/>
        </w:rPr>
        <w:t>成绩</w:t>
      </w:r>
      <w:r>
        <w:rPr>
          <w:rFonts w:hint="eastAsia"/>
          <w:sz w:val="28"/>
          <w:szCs w:val="28"/>
          <w:lang w:val="en-US" w:eastAsia="zh-CN"/>
        </w:rPr>
        <w:t>排名</w:t>
      </w:r>
      <w:r>
        <w:rPr>
          <w:sz w:val="28"/>
          <w:szCs w:val="28"/>
        </w:rPr>
        <w:t>直接确认；当申请学生数少于本轮专业招生数时，无条件接收学生。</w:t>
      </w:r>
    </w:p>
    <w:p w14:paraId="3A38EFF9">
      <w:pPr>
        <w:tabs>
          <w:tab w:val="left" w:pos="360"/>
          <w:tab w:val="left" w:pos="1149"/>
        </w:tabs>
        <w:adjustRightInd w:val="0"/>
        <w:snapToGrid w:val="0"/>
        <w:spacing w:line="360" w:lineRule="auto"/>
        <w:ind w:firstLine="555"/>
        <w:rPr>
          <w:sz w:val="28"/>
          <w:szCs w:val="28"/>
        </w:rPr>
      </w:pPr>
    </w:p>
    <w:p w14:paraId="19B182B6">
      <w:pPr>
        <w:adjustRightInd w:val="0"/>
        <w:snapToGrid w:val="0"/>
        <w:spacing w:line="360" w:lineRule="auto"/>
        <w:outlineLvl w:val="0"/>
        <w:rPr>
          <w:b/>
          <w:bCs/>
          <w:sz w:val="28"/>
          <w:szCs w:val="28"/>
        </w:rPr>
      </w:pPr>
      <w:r>
        <w:rPr>
          <w:rFonts w:hint="eastAsia"/>
          <w:b/>
          <w:bCs/>
          <w:sz w:val="28"/>
          <w:szCs w:val="28"/>
        </w:rPr>
        <w:t>五</w:t>
      </w:r>
      <w:r>
        <w:rPr>
          <w:b/>
          <w:bCs/>
          <w:sz w:val="28"/>
          <w:szCs w:val="28"/>
        </w:rPr>
        <w:t>、专业</w:t>
      </w:r>
      <w:r>
        <w:rPr>
          <w:rFonts w:hint="eastAsia"/>
          <w:b/>
          <w:bCs/>
          <w:sz w:val="28"/>
          <w:szCs w:val="28"/>
        </w:rPr>
        <w:t>接收计划数</w:t>
      </w:r>
    </w:p>
    <w:p w14:paraId="4ED699A3">
      <w:pPr>
        <w:adjustRightInd w:val="0"/>
        <w:snapToGrid w:val="0"/>
        <w:spacing w:line="360" w:lineRule="auto"/>
        <w:ind w:firstLine="560" w:firstLineChars="200"/>
        <w:outlineLvl w:val="0"/>
        <w:rPr>
          <w:sz w:val="28"/>
          <w:szCs w:val="28"/>
        </w:rPr>
      </w:pPr>
      <w:r>
        <w:rPr>
          <w:sz w:val="28"/>
          <w:szCs w:val="28"/>
        </w:rPr>
        <w:t xml:space="preserve">1. </w:t>
      </w:r>
      <w:r>
        <w:rPr>
          <w:rFonts w:hint="eastAsia"/>
          <w:sz w:val="28"/>
          <w:szCs w:val="28"/>
        </w:rPr>
        <w:t>以</w:t>
      </w:r>
      <w:r>
        <w:rPr>
          <w:sz w:val="28"/>
          <w:szCs w:val="28"/>
        </w:rPr>
        <w:t>“机械类”</w:t>
      </w:r>
      <w:r>
        <w:rPr>
          <w:rFonts w:hint="eastAsia"/>
          <w:sz w:val="28"/>
          <w:szCs w:val="28"/>
        </w:rPr>
        <w:t>和“</w:t>
      </w:r>
      <w:r>
        <w:rPr>
          <w:sz w:val="28"/>
          <w:szCs w:val="28"/>
        </w:rPr>
        <w:t>机器人工程</w:t>
      </w:r>
      <w:r>
        <w:rPr>
          <w:rFonts w:hint="eastAsia"/>
          <w:sz w:val="28"/>
          <w:szCs w:val="28"/>
        </w:rPr>
        <w:t>”</w:t>
      </w:r>
      <w:r>
        <w:rPr>
          <w:sz w:val="28"/>
          <w:szCs w:val="28"/>
        </w:rPr>
        <w:t>招生的专业</w:t>
      </w:r>
      <w:r>
        <w:rPr>
          <w:rFonts w:hint="eastAsia"/>
          <w:sz w:val="28"/>
          <w:szCs w:val="28"/>
        </w:rPr>
        <w:t>接收</w:t>
      </w:r>
      <w:r>
        <w:rPr>
          <w:sz w:val="28"/>
          <w:szCs w:val="28"/>
        </w:rPr>
        <w:t>数分别按浙江省普通高考生源类、浙江省三位一体生源类和外省生源类共三类设置</w:t>
      </w:r>
      <w:r>
        <w:rPr>
          <w:rFonts w:hint="eastAsia"/>
          <w:sz w:val="28"/>
          <w:szCs w:val="28"/>
        </w:rPr>
        <w:t>接收计划</w:t>
      </w:r>
      <w:r>
        <w:rPr>
          <w:sz w:val="28"/>
          <w:szCs w:val="28"/>
        </w:rPr>
        <w:t>数。</w:t>
      </w:r>
    </w:p>
    <w:p w14:paraId="49F03B9C">
      <w:pPr>
        <w:adjustRightInd w:val="0"/>
        <w:snapToGrid w:val="0"/>
        <w:spacing w:line="360" w:lineRule="auto"/>
        <w:ind w:firstLine="560" w:firstLineChars="200"/>
        <w:outlineLvl w:val="0"/>
        <w:rPr>
          <w:sz w:val="28"/>
          <w:szCs w:val="28"/>
        </w:rPr>
      </w:pPr>
      <w:r>
        <w:rPr>
          <w:rFonts w:hint="eastAsia"/>
          <w:sz w:val="28"/>
          <w:szCs w:val="28"/>
        </w:rPr>
        <w:t>2. 2024级各专业接收计划数参考2023级招生数，各专业的实际接收数由学院专业确认工作小组根据各专业的办学条件最终确定。</w:t>
      </w:r>
    </w:p>
    <w:p w14:paraId="79E7DE4B">
      <w:pPr>
        <w:adjustRightInd w:val="0"/>
        <w:snapToGrid w:val="0"/>
        <w:spacing w:line="360" w:lineRule="auto"/>
        <w:ind w:firstLine="560" w:firstLineChars="200"/>
        <w:outlineLvl w:val="0"/>
        <w:rPr>
          <w:sz w:val="28"/>
          <w:szCs w:val="28"/>
        </w:rPr>
      </w:pPr>
      <w:r>
        <w:rPr>
          <w:rFonts w:hint="eastAsia"/>
          <w:sz w:val="28"/>
          <w:szCs w:val="28"/>
        </w:rPr>
        <w:t>3</w:t>
      </w:r>
      <w:r>
        <w:rPr>
          <w:sz w:val="28"/>
          <w:szCs w:val="28"/>
        </w:rPr>
        <w:t>. 各专业</w:t>
      </w:r>
      <w:r>
        <w:rPr>
          <w:rFonts w:hint="eastAsia"/>
          <w:sz w:val="28"/>
          <w:szCs w:val="28"/>
        </w:rPr>
        <w:t>接收</w:t>
      </w:r>
      <w:r>
        <w:rPr>
          <w:sz w:val="28"/>
          <w:szCs w:val="28"/>
        </w:rPr>
        <w:t>计划数</w:t>
      </w:r>
      <w:r>
        <w:rPr>
          <w:rFonts w:hint="eastAsia"/>
          <w:sz w:val="28"/>
          <w:szCs w:val="28"/>
        </w:rPr>
        <w:t>见表1，并分两批次确认录取</w:t>
      </w:r>
      <w:r>
        <w:rPr>
          <w:sz w:val="28"/>
          <w:szCs w:val="28"/>
        </w:rPr>
        <w:t>。</w:t>
      </w:r>
    </w:p>
    <w:p w14:paraId="10D9E7F6">
      <w:pPr>
        <w:adjustRightInd w:val="0"/>
        <w:snapToGrid w:val="0"/>
        <w:spacing w:line="360" w:lineRule="auto"/>
        <w:ind w:firstLine="560" w:firstLineChars="200"/>
        <w:outlineLvl w:val="0"/>
        <w:rPr>
          <w:sz w:val="28"/>
          <w:szCs w:val="28"/>
        </w:rPr>
      </w:pPr>
    </w:p>
    <w:p w14:paraId="775A8343">
      <w:pPr>
        <w:adjustRightInd w:val="0"/>
        <w:snapToGrid w:val="0"/>
        <w:spacing w:line="360" w:lineRule="auto"/>
        <w:jc w:val="center"/>
        <w:outlineLvl w:val="0"/>
        <w:rPr>
          <w:sz w:val="28"/>
          <w:szCs w:val="28"/>
        </w:rPr>
      </w:pPr>
      <w:r>
        <w:rPr>
          <w:rFonts w:hint="eastAsia"/>
          <w:sz w:val="28"/>
          <w:szCs w:val="28"/>
        </w:rPr>
        <w:t>表1  2024级本科专业确认计划数</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634"/>
        <w:gridCol w:w="840"/>
        <w:gridCol w:w="937"/>
        <w:gridCol w:w="726"/>
        <w:gridCol w:w="873"/>
        <w:gridCol w:w="726"/>
        <w:gridCol w:w="1018"/>
        <w:gridCol w:w="726"/>
        <w:gridCol w:w="872"/>
        <w:gridCol w:w="716"/>
      </w:tblGrid>
      <w:tr w14:paraId="773C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000" w:type="pct"/>
            <w:gridSpan w:val="11"/>
            <w:shd w:val="clear" w:color="000000" w:fill="DCE6F1"/>
            <w:vAlign w:val="center"/>
          </w:tcPr>
          <w:p w14:paraId="562226EE">
            <w:pPr>
              <w:widowControl/>
              <w:snapToGrid w:val="0"/>
              <w:jc w:val="center"/>
              <w:rPr>
                <w:rFonts w:eastAsia="宋体"/>
                <w:b/>
                <w:bCs/>
                <w:kern w:val="0"/>
                <w:szCs w:val="32"/>
              </w:rPr>
            </w:pPr>
            <w:r>
              <w:rPr>
                <w:rFonts w:hint="eastAsia" w:ascii="宋体" w:hAnsi="宋体" w:eastAsia="宋体"/>
                <w:b/>
                <w:bCs/>
                <w:kern w:val="0"/>
                <w:szCs w:val="32"/>
              </w:rPr>
              <w:t>机械工程学院</w:t>
            </w:r>
            <w:r>
              <w:rPr>
                <w:rFonts w:eastAsia="宋体"/>
                <w:b/>
                <w:bCs/>
                <w:kern w:val="0"/>
                <w:szCs w:val="32"/>
              </w:rPr>
              <w:t>2024</w:t>
            </w:r>
            <w:r>
              <w:rPr>
                <w:rFonts w:hint="eastAsia" w:ascii="宋体" w:hAnsi="宋体" w:eastAsia="宋体"/>
                <w:b/>
                <w:bCs/>
                <w:kern w:val="0"/>
                <w:szCs w:val="32"/>
              </w:rPr>
              <w:t>级本科专业确认计划数</w:t>
            </w:r>
          </w:p>
        </w:tc>
      </w:tr>
      <w:tr w14:paraId="0893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657" w:type="pct"/>
            <w:vMerge w:val="restart"/>
            <w:shd w:val="clear" w:color="000000" w:fill="DCE6F1"/>
            <w:noWrap/>
            <w:vAlign w:val="center"/>
          </w:tcPr>
          <w:p w14:paraId="5FDDA944">
            <w:pPr>
              <w:widowControl/>
              <w:snapToGrid w:val="0"/>
              <w:jc w:val="center"/>
              <w:rPr>
                <w:rFonts w:eastAsia="宋体"/>
                <w:b/>
                <w:bCs/>
                <w:kern w:val="0"/>
                <w:sz w:val="20"/>
                <w:szCs w:val="20"/>
              </w:rPr>
            </w:pPr>
            <w:r>
              <w:rPr>
                <w:rFonts w:hint="eastAsia" w:ascii="宋体" w:hAnsi="宋体" w:eastAsia="宋体"/>
                <w:b/>
                <w:bCs/>
                <w:kern w:val="0"/>
                <w:sz w:val="20"/>
                <w:szCs w:val="20"/>
              </w:rPr>
              <w:t>专业名称</w:t>
            </w:r>
          </w:p>
        </w:tc>
        <w:tc>
          <w:tcPr>
            <w:tcW w:w="341" w:type="pct"/>
            <w:vMerge w:val="restart"/>
            <w:shd w:val="clear" w:color="000000" w:fill="DCE6F1"/>
            <w:noWrap/>
            <w:vAlign w:val="center"/>
          </w:tcPr>
          <w:p w14:paraId="55B36F8B">
            <w:pPr>
              <w:widowControl/>
              <w:snapToGrid w:val="0"/>
              <w:jc w:val="center"/>
              <w:rPr>
                <w:rFonts w:eastAsia="宋体"/>
                <w:b/>
                <w:bCs/>
                <w:kern w:val="0"/>
                <w:sz w:val="20"/>
                <w:szCs w:val="20"/>
              </w:rPr>
            </w:pPr>
            <w:r>
              <w:rPr>
                <w:rFonts w:hint="eastAsia" w:ascii="宋体" w:hAnsi="宋体" w:eastAsia="宋体"/>
                <w:b/>
                <w:bCs/>
                <w:kern w:val="0"/>
                <w:sz w:val="20"/>
                <w:szCs w:val="20"/>
              </w:rPr>
              <w:t>学院</w:t>
            </w:r>
          </w:p>
        </w:tc>
        <w:tc>
          <w:tcPr>
            <w:tcW w:w="452" w:type="pct"/>
            <w:vMerge w:val="restart"/>
            <w:shd w:val="clear" w:color="000000" w:fill="DCE6F1"/>
            <w:noWrap/>
            <w:vAlign w:val="center"/>
          </w:tcPr>
          <w:p w14:paraId="5FCAF92B">
            <w:pPr>
              <w:widowControl/>
              <w:snapToGrid w:val="0"/>
              <w:jc w:val="center"/>
              <w:rPr>
                <w:rFonts w:eastAsia="宋体"/>
                <w:b/>
                <w:bCs/>
                <w:kern w:val="0"/>
                <w:sz w:val="20"/>
                <w:szCs w:val="20"/>
              </w:rPr>
            </w:pPr>
            <w:r>
              <w:rPr>
                <w:rFonts w:hint="eastAsia" w:ascii="宋体" w:hAnsi="宋体" w:eastAsia="宋体"/>
                <w:b/>
                <w:bCs/>
                <w:kern w:val="0"/>
                <w:sz w:val="20"/>
                <w:szCs w:val="20"/>
              </w:rPr>
              <w:t>计划数</w:t>
            </w:r>
          </w:p>
        </w:tc>
        <w:tc>
          <w:tcPr>
            <w:tcW w:w="1756" w:type="pct"/>
            <w:gridSpan w:val="4"/>
            <w:shd w:val="clear" w:color="000000" w:fill="DCE6F1"/>
            <w:vAlign w:val="center"/>
          </w:tcPr>
          <w:p w14:paraId="08C5C004">
            <w:pPr>
              <w:widowControl/>
              <w:snapToGrid w:val="0"/>
              <w:jc w:val="center"/>
              <w:rPr>
                <w:rFonts w:eastAsia="宋体"/>
                <w:b/>
                <w:bCs/>
                <w:kern w:val="0"/>
                <w:sz w:val="20"/>
                <w:szCs w:val="20"/>
              </w:rPr>
            </w:pPr>
            <w:r>
              <w:rPr>
                <w:rFonts w:hint="eastAsia" w:ascii="宋体" w:hAnsi="宋体" w:eastAsia="宋体"/>
                <w:b/>
                <w:bCs/>
                <w:kern w:val="0"/>
                <w:sz w:val="20"/>
                <w:szCs w:val="20"/>
              </w:rPr>
              <w:t>第一批次</w:t>
            </w:r>
          </w:p>
        </w:tc>
        <w:tc>
          <w:tcPr>
            <w:tcW w:w="1795" w:type="pct"/>
            <w:gridSpan w:val="4"/>
            <w:shd w:val="clear" w:color="000000" w:fill="DCE6F1"/>
            <w:vAlign w:val="center"/>
          </w:tcPr>
          <w:p w14:paraId="25640151">
            <w:pPr>
              <w:widowControl/>
              <w:snapToGrid w:val="0"/>
              <w:jc w:val="center"/>
              <w:rPr>
                <w:rFonts w:eastAsia="宋体"/>
                <w:b/>
                <w:bCs/>
                <w:kern w:val="0"/>
                <w:sz w:val="20"/>
                <w:szCs w:val="20"/>
              </w:rPr>
            </w:pPr>
            <w:r>
              <w:rPr>
                <w:rFonts w:hint="eastAsia" w:ascii="宋体" w:hAnsi="宋体" w:eastAsia="宋体"/>
                <w:b/>
                <w:bCs/>
                <w:kern w:val="0"/>
                <w:sz w:val="20"/>
                <w:szCs w:val="20"/>
              </w:rPr>
              <w:t>第二批次</w:t>
            </w:r>
          </w:p>
        </w:tc>
      </w:tr>
      <w:tr w14:paraId="1DEC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vMerge w:val="continue"/>
            <w:vAlign w:val="center"/>
          </w:tcPr>
          <w:p w14:paraId="15DE4CB1">
            <w:pPr>
              <w:widowControl/>
              <w:snapToGrid w:val="0"/>
              <w:jc w:val="left"/>
              <w:rPr>
                <w:rFonts w:eastAsia="宋体"/>
                <w:b/>
                <w:bCs/>
                <w:kern w:val="0"/>
                <w:sz w:val="20"/>
                <w:szCs w:val="20"/>
              </w:rPr>
            </w:pPr>
          </w:p>
        </w:tc>
        <w:tc>
          <w:tcPr>
            <w:tcW w:w="341" w:type="pct"/>
            <w:vMerge w:val="continue"/>
            <w:vAlign w:val="center"/>
          </w:tcPr>
          <w:p w14:paraId="0C30DCD3">
            <w:pPr>
              <w:widowControl/>
              <w:snapToGrid w:val="0"/>
              <w:jc w:val="left"/>
              <w:rPr>
                <w:rFonts w:eastAsia="宋体"/>
                <w:b/>
                <w:bCs/>
                <w:kern w:val="0"/>
                <w:sz w:val="20"/>
                <w:szCs w:val="20"/>
              </w:rPr>
            </w:pPr>
          </w:p>
        </w:tc>
        <w:tc>
          <w:tcPr>
            <w:tcW w:w="452" w:type="pct"/>
            <w:vMerge w:val="continue"/>
            <w:vAlign w:val="center"/>
          </w:tcPr>
          <w:p w14:paraId="499438CF">
            <w:pPr>
              <w:widowControl/>
              <w:snapToGrid w:val="0"/>
              <w:jc w:val="left"/>
              <w:rPr>
                <w:rFonts w:eastAsia="宋体"/>
                <w:b/>
                <w:bCs/>
                <w:kern w:val="0"/>
                <w:sz w:val="20"/>
                <w:szCs w:val="20"/>
              </w:rPr>
            </w:pPr>
          </w:p>
        </w:tc>
        <w:tc>
          <w:tcPr>
            <w:tcW w:w="504" w:type="pct"/>
            <w:shd w:val="clear" w:color="000000" w:fill="DCE6F1"/>
            <w:vAlign w:val="center"/>
          </w:tcPr>
          <w:p w14:paraId="565432D7">
            <w:pPr>
              <w:widowControl/>
              <w:snapToGrid w:val="0"/>
              <w:jc w:val="center"/>
              <w:rPr>
                <w:rFonts w:eastAsia="宋体"/>
                <w:b/>
                <w:bCs/>
                <w:kern w:val="0"/>
                <w:sz w:val="20"/>
                <w:szCs w:val="20"/>
              </w:rPr>
            </w:pPr>
            <w:r>
              <w:rPr>
                <w:rFonts w:hint="eastAsia" w:ascii="宋体" w:hAnsi="宋体" w:eastAsia="宋体"/>
                <w:b/>
                <w:bCs/>
                <w:kern w:val="0"/>
                <w:sz w:val="20"/>
                <w:szCs w:val="20"/>
              </w:rPr>
              <w:t>浙江省普通</w:t>
            </w:r>
          </w:p>
        </w:tc>
        <w:tc>
          <w:tcPr>
            <w:tcW w:w="391" w:type="pct"/>
            <w:shd w:val="clear" w:color="000000" w:fill="DCE6F1"/>
            <w:noWrap/>
            <w:vAlign w:val="center"/>
          </w:tcPr>
          <w:p w14:paraId="772F538B">
            <w:pPr>
              <w:widowControl/>
              <w:snapToGrid w:val="0"/>
              <w:jc w:val="center"/>
              <w:rPr>
                <w:rFonts w:eastAsia="宋体"/>
                <w:b/>
                <w:bCs/>
                <w:kern w:val="0"/>
                <w:sz w:val="20"/>
                <w:szCs w:val="20"/>
              </w:rPr>
            </w:pPr>
            <w:r>
              <w:rPr>
                <w:rFonts w:hint="eastAsia" w:ascii="宋体" w:hAnsi="宋体" w:eastAsia="宋体"/>
                <w:b/>
                <w:bCs/>
                <w:kern w:val="0"/>
                <w:sz w:val="20"/>
                <w:szCs w:val="20"/>
              </w:rPr>
              <w:t>三位一体</w:t>
            </w:r>
          </w:p>
        </w:tc>
        <w:tc>
          <w:tcPr>
            <w:tcW w:w="470" w:type="pct"/>
            <w:shd w:val="clear" w:color="000000" w:fill="DCE6F1"/>
            <w:vAlign w:val="center"/>
          </w:tcPr>
          <w:p w14:paraId="6DA4FBD9">
            <w:pPr>
              <w:widowControl/>
              <w:snapToGrid w:val="0"/>
              <w:jc w:val="center"/>
              <w:rPr>
                <w:rFonts w:eastAsia="宋体"/>
                <w:b/>
                <w:bCs/>
                <w:kern w:val="0"/>
                <w:sz w:val="20"/>
                <w:szCs w:val="20"/>
              </w:rPr>
            </w:pPr>
            <w:r>
              <w:rPr>
                <w:rFonts w:hint="eastAsia" w:ascii="宋体" w:hAnsi="宋体" w:eastAsia="宋体"/>
                <w:b/>
                <w:bCs/>
                <w:kern w:val="0"/>
                <w:sz w:val="20"/>
                <w:szCs w:val="20"/>
              </w:rPr>
              <w:t>省外</w:t>
            </w:r>
          </w:p>
        </w:tc>
        <w:tc>
          <w:tcPr>
            <w:tcW w:w="391" w:type="pct"/>
            <w:shd w:val="clear" w:color="000000" w:fill="DCE6F1"/>
            <w:vAlign w:val="center"/>
          </w:tcPr>
          <w:p w14:paraId="6D5E9383">
            <w:pPr>
              <w:widowControl/>
              <w:snapToGrid w:val="0"/>
              <w:jc w:val="center"/>
              <w:rPr>
                <w:rFonts w:eastAsia="宋体"/>
                <w:b/>
                <w:bCs/>
                <w:kern w:val="0"/>
                <w:sz w:val="20"/>
                <w:szCs w:val="20"/>
              </w:rPr>
            </w:pPr>
            <w:r>
              <w:rPr>
                <w:rFonts w:hint="eastAsia" w:ascii="宋体" w:hAnsi="宋体" w:eastAsia="宋体"/>
                <w:b/>
                <w:bCs/>
                <w:kern w:val="0"/>
                <w:sz w:val="20"/>
                <w:szCs w:val="20"/>
              </w:rPr>
              <w:t>小计</w:t>
            </w:r>
          </w:p>
        </w:tc>
        <w:tc>
          <w:tcPr>
            <w:tcW w:w="548" w:type="pct"/>
            <w:shd w:val="clear" w:color="000000" w:fill="DCE6F1"/>
            <w:vAlign w:val="center"/>
          </w:tcPr>
          <w:p w14:paraId="604E0724">
            <w:pPr>
              <w:widowControl/>
              <w:snapToGrid w:val="0"/>
              <w:jc w:val="center"/>
              <w:rPr>
                <w:rFonts w:eastAsia="宋体"/>
                <w:b/>
                <w:bCs/>
                <w:kern w:val="0"/>
                <w:sz w:val="20"/>
                <w:szCs w:val="20"/>
              </w:rPr>
            </w:pPr>
            <w:r>
              <w:rPr>
                <w:rFonts w:hint="eastAsia" w:ascii="宋体" w:hAnsi="宋体" w:eastAsia="宋体"/>
                <w:b/>
                <w:bCs/>
                <w:kern w:val="0"/>
                <w:sz w:val="20"/>
                <w:szCs w:val="20"/>
              </w:rPr>
              <w:t>浙江省普通</w:t>
            </w:r>
          </w:p>
        </w:tc>
        <w:tc>
          <w:tcPr>
            <w:tcW w:w="391" w:type="pct"/>
            <w:shd w:val="clear" w:color="000000" w:fill="DCE6F1"/>
            <w:noWrap/>
            <w:vAlign w:val="center"/>
          </w:tcPr>
          <w:p w14:paraId="2C74E857">
            <w:pPr>
              <w:widowControl/>
              <w:snapToGrid w:val="0"/>
              <w:jc w:val="center"/>
              <w:rPr>
                <w:rFonts w:eastAsia="宋体"/>
                <w:b/>
                <w:bCs/>
                <w:kern w:val="0"/>
                <w:sz w:val="20"/>
                <w:szCs w:val="20"/>
              </w:rPr>
            </w:pPr>
            <w:r>
              <w:rPr>
                <w:rFonts w:hint="eastAsia" w:ascii="宋体" w:hAnsi="宋体" w:eastAsia="宋体"/>
                <w:b/>
                <w:bCs/>
                <w:kern w:val="0"/>
                <w:sz w:val="20"/>
                <w:szCs w:val="20"/>
              </w:rPr>
              <w:t>三位一体</w:t>
            </w:r>
          </w:p>
        </w:tc>
        <w:tc>
          <w:tcPr>
            <w:tcW w:w="469" w:type="pct"/>
            <w:shd w:val="clear" w:color="000000" w:fill="DCE6F1"/>
            <w:vAlign w:val="center"/>
          </w:tcPr>
          <w:p w14:paraId="1C02198A">
            <w:pPr>
              <w:widowControl/>
              <w:snapToGrid w:val="0"/>
              <w:jc w:val="center"/>
              <w:rPr>
                <w:rFonts w:eastAsia="宋体"/>
                <w:b/>
                <w:bCs/>
                <w:kern w:val="0"/>
                <w:sz w:val="20"/>
                <w:szCs w:val="20"/>
              </w:rPr>
            </w:pPr>
            <w:r>
              <w:rPr>
                <w:rFonts w:hint="eastAsia" w:ascii="宋体" w:hAnsi="宋体" w:eastAsia="宋体"/>
                <w:b/>
                <w:bCs/>
                <w:kern w:val="0"/>
                <w:sz w:val="20"/>
                <w:szCs w:val="20"/>
              </w:rPr>
              <w:t>省外</w:t>
            </w:r>
          </w:p>
        </w:tc>
        <w:tc>
          <w:tcPr>
            <w:tcW w:w="387" w:type="pct"/>
            <w:shd w:val="clear" w:color="000000" w:fill="DCE6F1"/>
            <w:vAlign w:val="center"/>
          </w:tcPr>
          <w:p w14:paraId="179A84FF">
            <w:pPr>
              <w:widowControl/>
              <w:snapToGrid w:val="0"/>
              <w:jc w:val="center"/>
              <w:rPr>
                <w:rFonts w:eastAsia="宋体"/>
                <w:b/>
                <w:bCs/>
                <w:kern w:val="0"/>
                <w:sz w:val="20"/>
                <w:szCs w:val="20"/>
              </w:rPr>
            </w:pPr>
            <w:r>
              <w:rPr>
                <w:rFonts w:hint="eastAsia" w:ascii="宋体" w:hAnsi="宋体" w:eastAsia="宋体"/>
                <w:b/>
                <w:bCs/>
                <w:kern w:val="0"/>
                <w:sz w:val="20"/>
                <w:szCs w:val="20"/>
              </w:rPr>
              <w:t>小计</w:t>
            </w:r>
          </w:p>
        </w:tc>
      </w:tr>
      <w:tr w14:paraId="7D3B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26E0445E">
            <w:pPr>
              <w:widowControl/>
              <w:snapToGrid w:val="0"/>
              <w:jc w:val="center"/>
              <w:rPr>
                <w:rFonts w:eastAsia="宋体"/>
                <w:kern w:val="0"/>
                <w:sz w:val="20"/>
                <w:szCs w:val="20"/>
              </w:rPr>
            </w:pPr>
            <w:r>
              <w:rPr>
                <w:rFonts w:hint="eastAsia" w:ascii="宋体" w:hAnsi="宋体" w:eastAsia="宋体"/>
                <w:kern w:val="0"/>
                <w:sz w:val="20"/>
                <w:szCs w:val="20"/>
              </w:rPr>
              <w:t>机械工程</w:t>
            </w:r>
          </w:p>
        </w:tc>
        <w:tc>
          <w:tcPr>
            <w:tcW w:w="341" w:type="pct"/>
            <w:vMerge w:val="restart"/>
            <w:shd w:val="clear" w:color="000000" w:fill="D8E4BC"/>
            <w:vAlign w:val="center"/>
          </w:tcPr>
          <w:p w14:paraId="04AB9395">
            <w:pPr>
              <w:widowControl/>
              <w:snapToGrid w:val="0"/>
              <w:jc w:val="center"/>
              <w:rPr>
                <w:rFonts w:eastAsia="宋体"/>
                <w:kern w:val="0"/>
                <w:sz w:val="20"/>
                <w:szCs w:val="20"/>
              </w:rPr>
            </w:pPr>
            <w:r>
              <w:rPr>
                <w:rFonts w:hint="eastAsia" w:ascii="宋体" w:hAnsi="宋体" w:eastAsia="宋体"/>
                <w:kern w:val="0"/>
                <w:sz w:val="20"/>
                <w:szCs w:val="20"/>
              </w:rPr>
              <w:t>机械</w:t>
            </w:r>
          </w:p>
        </w:tc>
        <w:tc>
          <w:tcPr>
            <w:tcW w:w="452" w:type="pct"/>
            <w:shd w:val="clear" w:color="000000" w:fill="D8E4BC"/>
            <w:noWrap/>
            <w:vAlign w:val="center"/>
          </w:tcPr>
          <w:p w14:paraId="45496EE8">
            <w:pPr>
              <w:widowControl/>
              <w:snapToGrid w:val="0"/>
              <w:jc w:val="center"/>
              <w:rPr>
                <w:rFonts w:eastAsia="宋体"/>
                <w:kern w:val="0"/>
                <w:sz w:val="24"/>
              </w:rPr>
            </w:pPr>
            <w:r>
              <w:rPr>
                <w:rFonts w:eastAsia="宋体"/>
                <w:kern w:val="0"/>
                <w:sz w:val="24"/>
              </w:rPr>
              <w:t xml:space="preserve">140 </w:t>
            </w:r>
          </w:p>
        </w:tc>
        <w:tc>
          <w:tcPr>
            <w:tcW w:w="504" w:type="pct"/>
            <w:shd w:val="clear" w:color="000000" w:fill="D8E4BC"/>
            <w:vAlign w:val="center"/>
          </w:tcPr>
          <w:p w14:paraId="2D308177">
            <w:pPr>
              <w:widowControl/>
              <w:snapToGrid w:val="0"/>
              <w:jc w:val="center"/>
              <w:rPr>
                <w:rFonts w:hint="default" w:eastAsia="宋体"/>
                <w:kern w:val="0"/>
                <w:sz w:val="24"/>
                <w:lang w:val="en-US" w:eastAsia="zh-CN"/>
              </w:rPr>
            </w:pPr>
            <w:r>
              <w:rPr>
                <w:rFonts w:hint="eastAsia" w:eastAsia="宋体"/>
                <w:kern w:val="0"/>
                <w:sz w:val="24"/>
                <w:lang w:val="en-US" w:eastAsia="zh-CN"/>
              </w:rPr>
              <w:t>37</w:t>
            </w:r>
          </w:p>
        </w:tc>
        <w:tc>
          <w:tcPr>
            <w:tcW w:w="391" w:type="pct"/>
            <w:shd w:val="clear" w:color="000000" w:fill="D8E4BC"/>
            <w:vAlign w:val="center"/>
          </w:tcPr>
          <w:p w14:paraId="38E37B23">
            <w:pPr>
              <w:widowControl/>
              <w:snapToGrid w:val="0"/>
              <w:jc w:val="center"/>
              <w:rPr>
                <w:rFonts w:hint="default" w:eastAsia="宋体"/>
                <w:kern w:val="0"/>
                <w:sz w:val="24"/>
                <w:lang w:val="en-US" w:eastAsia="zh-CN"/>
              </w:rPr>
            </w:pPr>
            <w:r>
              <w:rPr>
                <w:rFonts w:hint="eastAsia" w:eastAsia="宋体"/>
                <w:kern w:val="0"/>
                <w:sz w:val="24"/>
                <w:lang w:val="en-US" w:eastAsia="zh-CN"/>
              </w:rPr>
              <w:t>12</w:t>
            </w:r>
          </w:p>
        </w:tc>
        <w:tc>
          <w:tcPr>
            <w:tcW w:w="470" w:type="pct"/>
            <w:shd w:val="clear" w:color="000000" w:fill="D8E4BC"/>
            <w:noWrap/>
            <w:vAlign w:val="center"/>
          </w:tcPr>
          <w:p w14:paraId="09F7BD71">
            <w:pPr>
              <w:widowControl/>
              <w:snapToGrid w:val="0"/>
              <w:jc w:val="center"/>
              <w:rPr>
                <w:rFonts w:hint="default" w:eastAsia="宋体"/>
                <w:kern w:val="0"/>
                <w:sz w:val="24"/>
                <w:lang w:val="en-US" w:eastAsia="zh-CN"/>
              </w:rPr>
            </w:pPr>
            <w:r>
              <w:rPr>
                <w:rFonts w:hint="eastAsia" w:eastAsia="宋体"/>
                <w:kern w:val="0"/>
                <w:sz w:val="24"/>
                <w:lang w:val="en-US" w:eastAsia="zh-CN"/>
              </w:rPr>
              <w:t>48</w:t>
            </w:r>
          </w:p>
        </w:tc>
        <w:tc>
          <w:tcPr>
            <w:tcW w:w="391" w:type="pct"/>
            <w:shd w:val="clear" w:color="000000" w:fill="D8E4BC"/>
            <w:noWrap/>
            <w:vAlign w:val="center"/>
          </w:tcPr>
          <w:p w14:paraId="002B55B9">
            <w:pPr>
              <w:widowControl/>
              <w:snapToGrid w:val="0"/>
              <w:jc w:val="center"/>
              <w:rPr>
                <w:rFonts w:hint="default" w:eastAsia="宋体"/>
                <w:kern w:val="0"/>
                <w:sz w:val="24"/>
                <w:lang w:val="en-US" w:eastAsia="zh-CN"/>
              </w:rPr>
            </w:pPr>
            <w:r>
              <w:rPr>
                <w:rFonts w:hint="eastAsia" w:eastAsia="宋体"/>
                <w:kern w:val="0"/>
                <w:sz w:val="24"/>
                <w:lang w:val="en-US" w:eastAsia="zh-CN"/>
              </w:rPr>
              <w:t>97</w:t>
            </w:r>
          </w:p>
        </w:tc>
        <w:tc>
          <w:tcPr>
            <w:tcW w:w="548" w:type="pct"/>
            <w:shd w:val="clear" w:color="000000" w:fill="D8E4BC"/>
            <w:vAlign w:val="center"/>
          </w:tcPr>
          <w:p w14:paraId="19843A21">
            <w:pPr>
              <w:widowControl/>
              <w:snapToGrid w:val="0"/>
              <w:jc w:val="center"/>
              <w:rPr>
                <w:rFonts w:hint="default" w:eastAsia="宋体"/>
                <w:kern w:val="0"/>
                <w:sz w:val="24"/>
                <w:lang w:val="en-US" w:eastAsia="zh-CN"/>
              </w:rPr>
            </w:pPr>
            <w:r>
              <w:rPr>
                <w:rFonts w:hint="eastAsia" w:eastAsia="宋体"/>
                <w:kern w:val="0"/>
                <w:sz w:val="24"/>
                <w:lang w:val="en-US" w:eastAsia="zh-CN"/>
              </w:rPr>
              <w:t>16</w:t>
            </w:r>
          </w:p>
        </w:tc>
        <w:tc>
          <w:tcPr>
            <w:tcW w:w="391" w:type="pct"/>
            <w:shd w:val="clear" w:color="000000" w:fill="D8E4BC"/>
            <w:vAlign w:val="center"/>
          </w:tcPr>
          <w:p w14:paraId="00B6C601">
            <w:pPr>
              <w:widowControl/>
              <w:snapToGrid w:val="0"/>
              <w:jc w:val="center"/>
              <w:rPr>
                <w:rFonts w:hint="eastAsia" w:eastAsia="宋体"/>
                <w:kern w:val="0"/>
                <w:sz w:val="24"/>
                <w:lang w:val="en-US" w:eastAsia="zh-CN"/>
              </w:rPr>
            </w:pPr>
            <w:r>
              <w:rPr>
                <w:rFonts w:hint="eastAsia" w:eastAsia="宋体"/>
                <w:kern w:val="0"/>
                <w:sz w:val="24"/>
                <w:lang w:val="en-US" w:eastAsia="zh-CN"/>
              </w:rPr>
              <w:t>6</w:t>
            </w:r>
          </w:p>
        </w:tc>
        <w:tc>
          <w:tcPr>
            <w:tcW w:w="469" w:type="pct"/>
            <w:shd w:val="clear" w:color="000000" w:fill="D8E4BC"/>
            <w:noWrap/>
            <w:vAlign w:val="center"/>
          </w:tcPr>
          <w:p w14:paraId="7ED6D72D">
            <w:pPr>
              <w:widowControl/>
              <w:snapToGrid w:val="0"/>
              <w:jc w:val="center"/>
              <w:rPr>
                <w:rFonts w:hint="default" w:eastAsia="宋体"/>
                <w:kern w:val="0"/>
                <w:sz w:val="24"/>
                <w:lang w:val="en-US" w:eastAsia="zh-CN"/>
              </w:rPr>
            </w:pPr>
            <w:r>
              <w:rPr>
                <w:rFonts w:hint="eastAsia" w:eastAsia="宋体"/>
                <w:kern w:val="0"/>
                <w:sz w:val="24"/>
                <w:lang w:val="en-US" w:eastAsia="zh-CN"/>
              </w:rPr>
              <w:t>21</w:t>
            </w:r>
          </w:p>
        </w:tc>
        <w:tc>
          <w:tcPr>
            <w:tcW w:w="387" w:type="pct"/>
            <w:shd w:val="clear" w:color="000000" w:fill="D8E4BC"/>
            <w:noWrap/>
            <w:vAlign w:val="center"/>
          </w:tcPr>
          <w:p w14:paraId="1309E24D">
            <w:pPr>
              <w:widowControl/>
              <w:snapToGrid w:val="0"/>
              <w:jc w:val="center"/>
              <w:rPr>
                <w:rFonts w:hint="default" w:eastAsia="宋体"/>
                <w:kern w:val="0"/>
                <w:sz w:val="24"/>
                <w:lang w:val="en-US" w:eastAsia="zh-CN"/>
              </w:rPr>
            </w:pPr>
            <w:r>
              <w:rPr>
                <w:rFonts w:hint="eastAsia" w:eastAsia="宋体"/>
                <w:kern w:val="0"/>
                <w:sz w:val="24"/>
                <w:lang w:val="en-US" w:eastAsia="zh-CN"/>
              </w:rPr>
              <w:t>43</w:t>
            </w:r>
          </w:p>
        </w:tc>
      </w:tr>
      <w:tr w14:paraId="0AB7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6BBB843C">
            <w:pPr>
              <w:widowControl/>
              <w:snapToGrid w:val="0"/>
              <w:jc w:val="center"/>
              <w:rPr>
                <w:rFonts w:hint="eastAsia" w:ascii="宋体" w:hAnsi="宋体" w:eastAsia="宋体" w:cs="宋体"/>
                <w:kern w:val="0"/>
                <w:sz w:val="20"/>
                <w:szCs w:val="20"/>
              </w:rPr>
            </w:pPr>
            <w:r>
              <w:rPr>
                <w:rFonts w:hint="eastAsia" w:ascii="宋体" w:hAnsi="宋体" w:eastAsia="宋体" w:cs="宋体"/>
                <w:kern w:val="0"/>
                <w:sz w:val="20"/>
                <w:szCs w:val="20"/>
              </w:rPr>
              <w:t>过程装备与控制工程</w:t>
            </w:r>
          </w:p>
        </w:tc>
        <w:tc>
          <w:tcPr>
            <w:tcW w:w="341" w:type="pct"/>
            <w:vMerge w:val="continue"/>
            <w:vAlign w:val="center"/>
          </w:tcPr>
          <w:p w14:paraId="13CCEEB5">
            <w:pPr>
              <w:widowControl/>
              <w:snapToGrid w:val="0"/>
              <w:jc w:val="left"/>
              <w:rPr>
                <w:rFonts w:eastAsia="宋体"/>
                <w:kern w:val="0"/>
                <w:sz w:val="20"/>
                <w:szCs w:val="20"/>
              </w:rPr>
            </w:pPr>
          </w:p>
        </w:tc>
        <w:tc>
          <w:tcPr>
            <w:tcW w:w="452" w:type="pct"/>
            <w:shd w:val="clear" w:color="000000" w:fill="D8E4BC"/>
            <w:noWrap/>
            <w:vAlign w:val="center"/>
          </w:tcPr>
          <w:p w14:paraId="37EE4170">
            <w:pPr>
              <w:widowControl/>
              <w:snapToGrid w:val="0"/>
              <w:jc w:val="center"/>
              <w:rPr>
                <w:rFonts w:eastAsia="宋体"/>
                <w:kern w:val="0"/>
                <w:sz w:val="24"/>
              </w:rPr>
            </w:pPr>
            <w:r>
              <w:rPr>
                <w:rFonts w:eastAsia="宋体"/>
                <w:kern w:val="0"/>
                <w:sz w:val="24"/>
              </w:rPr>
              <w:t xml:space="preserve">61 </w:t>
            </w:r>
          </w:p>
        </w:tc>
        <w:tc>
          <w:tcPr>
            <w:tcW w:w="504" w:type="pct"/>
            <w:shd w:val="clear" w:color="000000" w:fill="D8E4BC"/>
            <w:vAlign w:val="center"/>
          </w:tcPr>
          <w:p w14:paraId="4A513B8E">
            <w:pPr>
              <w:widowControl/>
              <w:snapToGrid w:val="0"/>
              <w:jc w:val="center"/>
              <w:rPr>
                <w:rFonts w:hint="default" w:eastAsia="宋体"/>
                <w:kern w:val="0"/>
                <w:sz w:val="24"/>
                <w:lang w:val="en-US" w:eastAsia="zh-CN"/>
              </w:rPr>
            </w:pPr>
            <w:r>
              <w:rPr>
                <w:rFonts w:hint="eastAsia" w:eastAsia="宋体"/>
                <w:kern w:val="0"/>
                <w:sz w:val="24"/>
                <w:lang w:val="en-US" w:eastAsia="zh-CN"/>
              </w:rPr>
              <w:t>16</w:t>
            </w:r>
          </w:p>
        </w:tc>
        <w:tc>
          <w:tcPr>
            <w:tcW w:w="391" w:type="pct"/>
            <w:shd w:val="clear" w:color="000000" w:fill="D8E4BC"/>
            <w:vAlign w:val="center"/>
          </w:tcPr>
          <w:p w14:paraId="29669692">
            <w:pPr>
              <w:widowControl/>
              <w:snapToGrid w:val="0"/>
              <w:jc w:val="center"/>
              <w:rPr>
                <w:rFonts w:hint="eastAsia" w:eastAsia="宋体"/>
                <w:kern w:val="0"/>
                <w:sz w:val="24"/>
                <w:lang w:val="en-US" w:eastAsia="zh-CN"/>
              </w:rPr>
            </w:pPr>
            <w:r>
              <w:rPr>
                <w:rFonts w:hint="eastAsia" w:eastAsia="宋体"/>
                <w:kern w:val="0"/>
                <w:sz w:val="24"/>
                <w:lang w:val="en-US" w:eastAsia="zh-CN"/>
              </w:rPr>
              <w:t>5</w:t>
            </w:r>
          </w:p>
        </w:tc>
        <w:tc>
          <w:tcPr>
            <w:tcW w:w="470" w:type="pct"/>
            <w:shd w:val="clear" w:color="000000" w:fill="D8E4BC"/>
            <w:noWrap/>
            <w:vAlign w:val="center"/>
          </w:tcPr>
          <w:p w14:paraId="5FAB2CAA">
            <w:pPr>
              <w:widowControl/>
              <w:snapToGrid w:val="0"/>
              <w:jc w:val="center"/>
              <w:rPr>
                <w:rFonts w:hint="default" w:eastAsia="宋体"/>
                <w:kern w:val="0"/>
                <w:sz w:val="24"/>
                <w:lang w:val="en-US" w:eastAsia="zh-CN"/>
              </w:rPr>
            </w:pPr>
            <w:r>
              <w:rPr>
                <w:rFonts w:hint="eastAsia" w:eastAsia="宋体"/>
                <w:kern w:val="0"/>
                <w:sz w:val="24"/>
                <w:lang w:val="en-US" w:eastAsia="zh-CN"/>
              </w:rPr>
              <w:t>21</w:t>
            </w:r>
          </w:p>
        </w:tc>
        <w:tc>
          <w:tcPr>
            <w:tcW w:w="391" w:type="pct"/>
            <w:shd w:val="clear" w:color="000000" w:fill="D8E4BC"/>
            <w:noWrap/>
            <w:vAlign w:val="center"/>
          </w:tcPr>
          <w:p w14:paraId="44DD567E">
            <w:pPr>
              <w:widowControl/>
              <w:snapToGrid w:val="0"/>
              <w:jc w:val="center"/>
              <w:rPr>
                <w:rFonts w:hint="default" w:eastAsia="宋体"/>
                <w:kern w:val="0"/>
                <w:sz w:val="24"/>
                <w:lang w:val="en-US" w:eastAsia="zh-CN"/>
              </w:rPr>
            </w:pPr>
            <w:r>
              <w:rPr>
                <w:rFonts w:hint="eastAsia" w:eastAsia="宋体"/>
                <w:kern w:val="0"/>
                <w:sz w:val="24"/>
                <w:lang w:val="en-US" w:eastAsia="zh-CN"/>
              </w:rPr>
              <w:t>42</w:t>
            </w:r>
          </w:p>
        </w:tc>
        <w:tc>
          <w:tcPr>
            <w:tcW w:w="548" w:type="pct"/>
            <w:shd w:val="clear" w:color="000000" w:fill="D8E4BC"/>
            <w:vAlign w:val="center"/>
          </w:tcPr>
          <w:p w14:paraId="7A4BE65A">
            <w:pPr>
              <w:widowControl/>
              <w:snapToGrid w:val="0"/>
              <w:jc w:val="center"/>
              <w:rPr>
                <w:rFonts w:hint="eastAsia" w:eastAsia="宋体"/>
                <w:kern w:val="0"/>
                <w:sz w:val="24"/>
                <w:lang w:val="en-US" w:eastAsia="zh-CN"/>
              </w:rPr>
            </w:pPr>
            <w:r>
              <w:rPr>
                <w:rFonts w:hint="eastAsia" w:eastAsia="宋体"/>
                <w:kern w:val="0"/>
                <w:sz w:val="24"/>
                <w:lang w:val="en-US" w:eastAsia="zh-CN"/>
              </w:rPr>
              <w:t>7</w:t>
            </w:r>
          </w:p>
        </w:tc>
        <w:tc>
          <w:tcPr>
            <w:tcW w:w="391" w:type="pct"/>
            <w:shd w:val="clear" w:color="000000" w:fill="D8E4BC"/>
            <w:vAlign w:val="center"/>
          </w:tcPr>
          <w:p w14:paraId="4CD10EF1">
            <w:pPr>
              <w:widowControl/>
              <w:snapToGrid w:val="0"/>
              <w:jc w:val="center"/>
              <w:rPr>
                <w:rFonts w:hint="eastAsia" w:eastAsia="宋体"/>
                <w:kern w:val="0"/>
                <w:sz w:val="24"/>
                <w:lang w:val="en-US" w:eastAsia="zh-CN"/>
              </w:rPr>
            </w:pPr>
            <w:r>
              <w:rPr>
                <w:rFonts w:hint="eastAsia" w:eastAsia="宋体"/>
                <w:kern w:val="0"/>
                <w:sz w:val="24"/>
                <w:lang w:val="en-US" w:eastAsia="zh-CN"/>
              </w:rPr>
              <w:t>3</w:t>
            </w:r>
          </w:p>
        </w:tc>
        <w:tc>
          <w:tcPr>
            <w:tcW w:w="469" w:type="pct"/>
            <w:shd w:val="clear" w:color="000000" w:fill="D8E4BC"/>
            <w:noWrap/>
            <w:vAlign w:val="center"/>
          </w:tcPr>
          <w:p w14:paraId="0B372452">
            <w:pPr>
              <w:widowControl/>
              <w:snapToGrid w:val="0"/>
              <w:jc w:val="center"/>
              <w:rPr>
                <w:rFonts w:hint="eastAsia" w:eastAsia="宋体"/>
                <w:kern w:val="0"/>
                <w:sz w:val="24"/>
                <w:lang w:val="en-US" w:eastAsia="zh-CN"/>
              </w:rPr>
            </w:pPr>
            <w:r>
              <w:rPr>
                <w:rFonts w:hint="eastAsia" w:eastAsia="宋体"/>
                <w:kern w:val="0"/>
                <w:sz w:val="24"/>
                <w:lang w:val="en-US" w:eastAsia="zh-CN"/>
              </w:rPr>
              <w:t>9</w:t>
            </w:r>
          </w:p>
        </w:tc>
        <w:tc>
          <w:tcPr>
            <w:tcW w:w="387" w:type="pct"/>
            <w:shd w:val="clear" w:color="000000" w:fill="D8E4BC"/>
            <w:noWrap/>
            <w:vAlign w:val="center"/>
          </w:tcPr>
          <w:p w14:paraId="5D791F6D">
            <w:pPr>
              <w:widowControl/>
              <w:snapToGrid w:val="0"/>
              <w:jc w:val="center"/>
              <w:rPr>
                <w:rFonts w:hint="default" w:eastAsia="宋体"/>
                <w:kern w:val="0"/>
                <w:sz w:val="24"/>
                <w:lang w:val="en-US" w:eastAsia="zh-CN"/>
              </w:rPr>
            </w:pPr>
            <w:r>
              <w:rPr>
                <w:rFonts w:hint="eastAsia" w:eastAsia="宋体"/>
                <w:kern w:val="0"/>
                <w:sz w:val="24"/>
                <w:lang w:val="en-US" w:eastAsia="zh-CN"/>
              </w:rPr>
              <w:t>19</w:t>
            </w:r>
          </w:p>
        </w:tc>
      </w:tr>
      <w:tr w14:paraId="0178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3B5A7C9A">
            <w:pPr>
              <w:widowControl/>
              <w:snapToGrid w:val="0"/>
              <w:jc w:val="center"/>
              <w:rPr>
                <w:rFonts w:eastAsia="宋体"/>
                <w:kern w:val="0"/>
                <w:sz w:val="20"/>
                <w:szCs w:val="20"/>
              </w:rPr>
            </w:pPr>
            <w:r>
              <w:rPr>
                <w:rFonts w:hint="eastAsia" w:ascii="宋体" w:hAnsi="宋体" w:eastAsia="宋体"/>
                <w:kern w:val="0"/>
                <w:sz w:val="20"/>
                <w:szCs w:val="20"/>
              </w:rPr>
              <w:t>车辆工程</w:t>
            </w:r>
          </w:p>
        </w:tc>
        <w:tc>
          <w:tcPr>
            <w:tcW w:w="341" w:type="pct"/>
            <w:vMerge w:val="continue"/>
            <w:vAlign w:val="center"/>
          </w:tcPr>
          <w:p w14:paraId="196AE841">
            <w:pPr>
              <w:widowControl/>
              <w:snapToGrid w:val="0"/>
              <w:jc w:val="left"/>
              <w:rPr>
                <w:rFonts w:eastAsia="宋体"/>
                <w:kern w:val="0"/>
                <w:sz w:val="20"/>
                <w:szCs w:val="20"/>
              </w:rPr>
            </w:pPr>
          </w:p>
        </w:tc>
        <w:tc>
          <w:tcPr>
            <w:tcW w:w="452" w:type="pct"/>
            <w:shd w:val="clear" w:color="000000" w:fill="D8E4BC"/>
            <w:noWrap/>
            <w:vAlign w:val="center"/>
          </w:tcPr>
          <w:p w14:paraId="355CC3F4">
            <w:pPr>
              <w:widowControl/>
              <w:snapToGrid w:val="0"/>
              <w:jc w:val="center"/>
              <w:rPr>
                <w:rFonts w:eastAsia="宋体"/>
                <w:kern w:val="0"/>
                <w:sz w:val="24"/>
              </w:rPr>
            </w:pPr>
            <w:r>
              <w:rPr>
                <w:rFonts w:eastAsia="宋体"/>
                <w:kern w:val="0"/>
                <w:sz w:val="24"/>
              </w:rPr>
              <w:t xml:space="preserve">50 </w:t>
            </w:r>
          </w:p>
        </w:tc>
        <w:tc>
          <w:tcPr>
            <w:tcW w:w="504" w:type="pct"/>
            <w:shd w:val="clear" w:color="000000" w:fill="D8E4BC"/>
            <w:vAlign w:val="center"/>
          </w:tcPr>
          <w:p w14:paraId="42D64646">
            <w:pPr>
              <w:widowControl/>
              <w:snapToGrid w:val="0"/>
              <w:jc w:val="center"/>
              <w:rPr>
                <w:rFonts w:hint="default" w:eastAsia="宋体"/>
                <w:kern w:val="0"/>
                <w:sz w:val="24"/>
                <w:lang w:val="en-US" w:eastAsia="zh-CN"/>
              </w:rPr>
            </w:pPr>
            <w:r>
              <w:rPr>
                <w:rFonts w:hint="eastAsia" w:eastAsia="宋体"/>
                <w:kern w:val="0"/>
                <w:sz w:val="24"/>
                <w:lang w:val="en-US" w:eastAsia="zh-CN"/>
              </w:rPr>
              <w:t>13</w:t>
            </w:r>
          </w:p>
        </w:tc>
        <w:tc>
          <w:tcPr>
            <w:tcW w:w="391" w:type="pct"/>
            <w:shd w:val="clear" w:color="000000" w:fill="D8E4BC"/>
            <w:vAlign w:val="center"/>
          </w:tcPr>
          <w:p w14:paraId="3152D514">
            <w:pPr>
              <w:widowControl/>
              <w:snapToGrid w:val="0"/>
              <w:jc w:val="center"/>
              <w:rPr>
                <w:rFonts w:hint="eastAsia" w:eastAsia="宋体"/>
                <w:kern w:val="0"/>
                <w:sz w:val="24"/>
                <w:lang w:val="en-US" w:eastAsia="zh-CN"/>
              </w:rPr>
            </w:pPr>
            <w:r>
              <w:rPr>
                <w:rFonts w:hint="eastAsia" w:eastAsia="宋体"/>
                <w:kern w:val="0"/>
                <w:sz w:val="24"/>
                <w:lang w:val="en-US" w:eastAsia="zh-CN"/>
              </w:rPr>
              <w:t>4</w:t>
            </w:r>
          </w:p>
        </w:tc>
        <w:tc>
          <w:tcPr>
            <w:tcW w:w="470" w:type="pct"/>
            <w:shd w:val="clear" w:color="000000" w:fill="D8E4BC"/>
            <w:noWrap/>
            <w:vAlign w:val="center"/>
          </w:tcPr>
          <w:p w14:paraId="51C53E73">
            <w:pPr>
              <w:widowControl/>
              <w:snapToGrid w:val="0"/>
              <w:jc w:val="center"/>
              <w:rPr>
                <w:rFonts w:hint="default" w:eastAsia="宋体"/>
                <w:kern w:val="0"/>
                <w:sz w:val="24"/>
                <w:lang w:val="en-US" w:eastAsia="zh-CN"/>
              </w:rPr>
            </w:pPr>
            <w:r>
              <w:rPr>
                <w:rFonts w:hint="eastAsia" w:eastAsia="宋体"/>
                <w:kern w:val="0"/>
                <w:sz w:val="24"/>
                <w:lang w:val="en-US" w:eastAsia="zh-CN"/>
              </w:rPr>
              <w:t>16</w:t>
            </w:r>
          </w:p>
        </w:tc>
        <w:tc>
          <w:tcPr>
            <w:tcW w:w="391" w:type="pct"/>
            <w:shd w:val="clear" w:color="000000" w:fill="D8E4BC"/>
            <w:noWrap/>
            <w:vAlign w:val="center"/>
          </w:tcPr>
          <w:p w14:paraId="16F9A7FB">
            <w:pPr>
              <w:widowControl/>
              <w:snapToGrid w:val="0"/>
              <w:jc w:val="center"/>
              <w:rPr>
                <w:rFonts w:hint="default" w:eastAsia="宋体"/>
                <w:kern w:val="0"/>
                <w:sz w:val="24"/>
                <w:lang w:val="en-US" w:eastAsia="zh-CN"/>
              </w:rPr>
            </w:pPr>
            <w:r>
              <w:rPr>
                <w:rFonts w:hint="eastAsia" w:eastAsia="宋体"/>
                <w:kern w:val="0"/>
                <w:sz w:val="24"/>
                <w:lang w:val="en-US" w:eastAsia="zh-CN"/>
              </w:rPr>
              <w:t>33</w:t>
            </w:r>
          </w:p>
        </w:tc>
        <w:tc>
          <w:tcPr>
            <w:tcW w:w="548" w:type="pct"/>
            <w:shd w:val="clear" w:color="000000" w:fill="D8E4BC"/>
            <w:vAlign w:val="center"/>
          </w:tcPr>
          <w:p w14:paraId="02AE18BC">
            <w:pPr>
              <w:widowControl/>
              <w:snapToGrid w:val="0"/>
              <w:jc w:val="center"/>
              <w:rPr>
                <w:rFonts w:hint="eastAsia" w:eastAsia="宋体"/>
                <w:kern w:val="0"/>
                <w:sz w:val="24"/>
                <w:lang w:val="en-US" w:eastAsia="zh-CN"/>
              </w:rPr>
            </w:pPr>
            <w:r>
              <w:rPr>
                <w:rFonts w:hint="eastAsia" w:eastAsia="宋体"/>
                <w:kern w:val="0"/>
                <w:sz w:val="24"/>
                <w:lang w:val="en-US" w:eastAsia="zh-CN"/>
              </w:rPr>
              <w:t>6</w:t>
            </w:r>
          </w:p>
        </w:tc>
        <w:tc>
          <w:tcPr>
            <w:tcW w:w="391" w:type="pct"/>
            <w:shd w:val="clear" w:color="000000" w:fill="D8E4BC"/>
            <w:vAlign w:val="center"/>
          </w:tcPr>
          <w:p w14:paraId="6BF7A1E3">
            <w:pPr>
              <w:widowControl/>
              <w:snapToGrid w:val="0"/>
              <w:jc w:val="center"/>
              <w:rPr>
                <w:rFonts w:hint="eastAsia" w:eastAsia="宋体"/>
                <w:kern w:val="0"/>
                <w:sz w:val="24"/>
                <w:lang w:val="en-US" w:eastAsia="zh-CN"/>
              </w:rPr>
            </w:pPr>
            <w:r>
              <w:rPr>
                <w:rFonts w:hint="eastAsia" w:eastAsia="宋体"/>
                <w:kern w:val="0"/>
                <w:sz w:val="24"/>
                <w:lang w:val="en-US" w:eastAsia="zh-CN"/>
              </w:rPr>
              <w:t>3</w:t>
            </w:r>
          </w:p>
        </w:tc>
        <w:tc>
          <w:tcPr>
            <w:tcW w:w="469" w:type="pct"/>
            <w:shd w:val="clear" w:color="000000" w:fill="D8E4BC"/>
            <w:noWrap/>
            <w:vAlign w:val="center"/>
          </w:tcPr>
          <w:p w14:paraId="160A6726">
            <w:pPr>
              <w:widowControl/>
              <w:snapToGrid w:val="0"/>
              <w:jc w:val="center"/>
              <w:rPr>
                <w:rFonts w:hint="eastAsia" w:eastAsia="宋体"/>
                <w:kern w:val="0"/>
                <w:sz w:val="24"/>
                <w:lang w:val="en-US" w:eastAsia="zh-CN"/>
              </w:rPr>
            </w:pPr>
            <w:r>
              <w:rPr>
                <w:rFonts w:hint="eastAsia" w:eastAsia="宋体"/>
                <w:kern w:val="0"/>
                <w:sz w:val="24"/>
                <w:lang w:val="en-US" w:eastAsia="zh-CN"/>
              </w:rPr>
              <w:t>8</w:t>
            </w:r>
          </w:p>
        </w:tc>
        <w:tc>
          <w:tcPr>
            <w:tcW w:w="387" w:type="pct"/>
            <w:shd w:val="clear" w:color="000000" w:fill="D8E4BC"/>
            <w:noWrap/>
            <w:vAlign w:val="center"/>
          </w:tcPr>
          <w:p w14:paraId="2823D394">
            <w:pPr>
              <w:widowControl/>
              <w:snapToGrid w:val="0"/>
              <w:jc w:val="center"/>
              <w:rPr>
                <w:rFonts w:hint="default" w:eastAsia="宋体"/>
                <w:kern w:val="0"/>
                <w:sz w:val="24"/>
                <w:lang w:val="en-US" w:eastAsia="zh-CN"/>
              </w:rPr>
            </w:pPr>
            <w:r>
              <w:rPr>
                <w:rFonts w:hint="eastAsia" w:eastAsia="宋体"/>
                <w:kern w:val="0"/>
                <w:sz w:val="24"/>
                <w:lang w:val="en-US" w:eastAsia="zh-CN"/>
              </w:rPr>
              <w:t>17</w:t>
            </w:r>
          </w:p>
        </w:tc>
      </w:tr>
      <w:tr w14:paraId="4077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0C8A7099">
            <w:pPr>
              <w:widowControl/>
              <w:snapToGrid w:val="0"/>
              <w:jc w:val="center"/>
              <w:rPr>
                <w:rFonts w:eastAsia="宋体"/>
                <w:kern w:val="0"/>
                <w:sz w:val="20"/>
                <w:szCs w:val="20"/>
              </w:rPr>
            </w:pPr>
            <w:r>
              <w:rPr>
                <w:rFonts w:hint="eastAsia" w:ascii="宋体" w:hAnsi="宋体" w:eastAsia="宋体"/>
                <w:kern w:val="0"/>
                <w:sz w:val="20"/>
                <w:szCs w:val="20"/>
              </w:rPr>
              <w:t>能源与环境系统工程</w:t>
            </w:r>
          </w:p>
        </w:tc>
        <w:tc>
          <w:tcPr>
            <w:tcW w:w="341" w:type="pct"/>
            <w:vMerge w:val="continue"/>
            <w:vAlign w:val="center"/>
          </w:tcPr>
          <w:p w14:paraId="360E55EE">
            <w:pPr>
              <w:widowControl/>
              <w:snapToGrid w:val="0"/>
              <w:jc w:val="left"/>
              <w:rPr>
                <w:rFonts w:eastAsia="宋体"/>
                <w:kern w:val="0"/>
                <w:sz w:val="20"/>
                <w:szCs w:val="20"/>
              </w:rPr>
            </w:pPr>
          </w:p>
        </w:tc>
        <w:tc>
          <w:tcPr>
            <w:tcW w:w="452" w:type="pct"/>
            <w:shd w:val="clear" w:color="000000" w:fill="D8E4BC"/>
            <w:noWrap/>
            <w:vAlign w:val="center"/>
          </w:tcPr>
          <w:p w14:paraId="5F036137">
            <w:pPr>
              <w:widowControl/>
              <w:snapToGrid w:val="0"/>
              <w:jc w:val="center"/>
              <w:rPr>
                <w:rFonts w:eastAsia="宋体"/>
                <w:kern w:val="0"/>
                <w:sz w:val="24"/>
              </w:rPr>
            </w:pPr>
            <w:r>
              <w:rPr>
                <w:rFonts w:eastAsia="宋体"/>
                <w:kern w:val="0"/>
                <w:sz w:val="24"/>
              </w:rPr>
              <w:t xml:space="preserve">35 </w:t>
            </w:r>
          </w:p>
        </w:tc>
        <w:tc>
          <w:tcPr>
            <w:tcW w:w="504" w:type="pct"/>
            <w:shd w:val="clear" w:color="000000" w:fill="D8E4BC"/>
            <w:vAlign w:val="center"/>
          </w:tcPr>
          <w:p w14:paraId="1FB563BC">
            <w:pPr>
              <w:widowControl/>
              <w:snapToGrid w:val="0"/>
              <w:jc w:val="center"/>
              <w:rPr>
                <w:rFonts w:hint="eastAsia" w:eastAsia="宋体"/>
                <w:kern w:val="0"/>
                <w:sz w:val="24"/>
                <w:lang w:val="en-US" w:eastAsia="zh-CN"/>
              </w:rPr>
            </w:pPr>
            <w:r>
              <w:rPr>
                <w:rFonts w:hint="eastAsia" w:eastAsia="宋体"/>
                <w:kern w:val="0"/>
                <w:sz w:val="24"/>
                <w:lang w:val="en-US" w:eastAsia="zh-CN"/>
              </w:rPr>
              <w:t>9</w:t>
            </w:r>
          </w:p>
        </w:tc>
        <w:tc>
          <w:tcPr>
            <w:tcW w:w="391" w:type="pct"/>
            <w:shd w:val="clear" w:color="000000" w:fill="D8E4BC"/>
            <w:noWrap/>
            <w:vAlign w:val="center"/>
          </w:tcPr>
          <w:p w14:paraId="0CBFD43A">
            <w:pPr>
              <w:widowControl/>
              <w:snapToGrid w:val="0"/>
              <w:jc w:val="center"/>
              <w:rPr>
                <w:rFonts w:hint="eastAsia" w:eastAsia="宋体"/>
                <w:kern w:val="0"/>
                <w:sz w:val="24"/>
                <w:lang w:val="en-US" w:eastAsia="zh-CN"/>
              </w:rPr>
            </w:pPr>
            <w:r>
              <w:rPr>
                <w:rFonts w:hint="eastAsia" w:eastAsia="宋体"/>
                <w:kern w:val="0"/>
                <w:sz w:val="24"/>
                <w:lang w:val="en-US" w:eastAsia="zh-CN"/>
              </w:rPr>
              <w:t>3</w:t>
            </w:r>
          </w:p>
        </w:tc>
        <w:tc>
          <w:tcPr>
            <w:tcW w:w="470" w:type="pct"/>
            <w:shd w:val="clear" w:color="000000" w:fill="D8E4BC"/>
            <w:noWrap/>
            <w:vAlign w:val="center"/>
          </w:tcPr>
          <w:p w14:paraId="363D8000">
            <w:pPr>
              <w:widowControl/>
              <w:snapToGrid w:val="0"/>
              <w:jc w:val="center"/>
              <w:rPr>
                <w:rFonts w:hint="default" w:eastAsia="宋体"/>
                <w:kern w:val="0"/>
                <w:sz w:val="24"/>
                <w:lang w:val="en-US" w:eastAsia="zh-CN"/>
              </w:rPr>
            </w:pPr>
            <w:r>
              <w:rPr>
                <w:rFonts w:hint="eastAsia" w:eastAsia="宋体"/>
                <w:kern w:val="0"/>
                <w:sz w:val="24"/>
                <w:lang w:val="en-US" w:eastAsia="zh-CN"/>
              </w:rPr>
              <w:t>11</w:t>
            </w:r>
          </w:p>
        </w:tc>
        <w:tc>
          <w:tcPr>
            <w:tcW w:w="391" w:type="pct"/>
            <w:shd w:val="clear" w:color="000000" w:fill="D8E4BC"/>
            <w:noWrap/>
            <w:vAlign w:val="center"/>
          </w:tcPr>
          <w:p w14:paraId="70644C0D">
            <w:pPr>
              <w:widowControl/>
              <w:snapToGrid w:val="0"/>
              <w:jc w:val="center"/>
              <w:rPr>
                <w:rFonts w:hint="default" w:eastAsia="宋体"/>
                <w:kern w:val="0"/>
                <w:sz w:val="24"/>
                <w:lang w:val="en-US" w:eastAsia="zh-CN"/>
              </w:rPr>
            </w:pPr>
            <w:r>
              <w:rPr>
                <w:rFonts w:hint="eastAsia" w:eastAsia="宋体"/>
                <w:kern w:val="0"/>
                <w:sz w:val="24"/>
                <w:lang w:val="en-US" w:eastAsia="zh-CN"/>
              </w:rPr>
              <w:t>23</w:t>
            </w:r>
          </w:p>
        </w:tc>
        <w:tc>
          <w:tcPr>
            <w:tcW w:w="548" w:type="pct"/>
            <w:shd w:val="clear" w:color="000000" w:fill="D8E4BC"/>
            <w:vAlign w:val="center"/>
          </w:tcPr>
          <w:p w14:paraId="52C67693">
            <w:pPr>
              <w:widowControl/>
              <w:snapToGrid w:val="0"/>
              <w:jc w:val="center"/>
              <w:rPr>
                <w:rFonts w:hint="eastAsia" w:eastAsia="宋体"/>
                <w:kern w:val="0"/>
                <w:sz w:val="24"/>
                <w:lang w:val="en-US" w:eastAsia="zh-CN"/>
              </w:rPr>
            </w:pPr>
            <w:r>
              <w:rPr>
                <w:rFonts w:hint="eastAsia" w:eastAsia="宋体"/>
                <w:kern w:val="0"/>
                <w:sz w:val="24"/>
                <w:lang w:val="en-US" w:eastAsia="zh-CN"/>
              </w:rPr>
              <w:t>4</w:t>
            </w:r>
          </w:p>
        </w:tc>
        <w:tc>
          <w:tcPr>
            <w:tcW w:w="391" w:type="pct"/>
            <w:shd w:val="clear" w:color="000000" w:fill="D8E4BC"/>
            <w:noWrap/>
            <w:vAlign w:val="center"/>
          </w:tcPr>
          <w:p w14:paraId="22BFB5F4">
            <w:pPr>
              <w:widowControl/>
              <w:snapToGrid w:val="0"/>
              <w:jc w:val="center"/>
              <w:rPr>
                <w:rFonts w:hint="eastAsia" w:eastAsia="宋体"/>
                <w:kern w:val="0"/>
                <w:sz w:val="24"/>
                <w:lang w:val="en-US" w:eastAsia="zh-CN"/>
              </w:rPr>
            </w:pPr>
            <w:r>
              <w:rPr>
                <w:rFonts w:hint="eastAsia" w:eastAsia="宋体"/>
                <w:kern w:val="0"/>
                <w:sz w:val="24"/>
                <w:lang w:val="en-US" w:eastAsia="zh-CN"/>
              </w:rPr>
              <w:t>2</w:t>
            </w:r>
          </w:p>
        </w:tc>
        <w:tc>
          <w:tcPr>
            <w:tcW w:w="469" w:type="pct"/>
            <w:shd w:val="clear" w:color="000000" w:fill="D8E4BC"/>
            <w:noWrap/>
            <w:vAlign w:val="center"/>
          </w:tcPr>
          <w:p w14:paraId="2FB40F3C">
            <w:pPr>
              <w:widowControl/>
              <w:snapToGrid w:val="0"/>
              <w:jc w:val="center"/>
              <w:rPr>
                <w:rFonts w:hint="eastAsia" w:eastAsia="宋体"/>
                <w:kern w:val="0"/>
                <w:sz w:val="24"/>
                <w:lang w:val="en-US" w:eastAsia="zh-CN"/>
              </w:rPr>
            </w:pPr>
            <w:r>
              <w:rPr>
                <w:rFonts w:hint="eastAsia" w:eastAsia="宋体"/>
                <w:kern w:val="0"/>
                <w:sz w:val="24"/>
                <w:lang w:val="en-US" w:eastAsia="zh-CN"/>
              </w:rPr>
              <w:t>6</w:t>
            </w:r>
          </w:p>
        </w:tc>
        <w:tc>
          <w:tcPr>
            <w:tcW w:w="387" w:type="pct"/>
            <w:shd w:val="clear" w:color="000000" w:fill="D8E4BC"/>
            <w:noWrap/>
            <w:vAlign w:val="center"/>
          </w:tcPr>
          <w:p w14:paraId="29B9301D">
            <w:pPr>
              <w:widowControl/>
              <w:snapToGrid w:val="0"/>
              <w:jc w:val="center"/>
              <w:rPr>
                <w:rFonts w:hint="default" w:eastAsia="宋体"/>
                <w:kern w:val="0"/>
                <w:sz w:val="24"/>
                <w:lang w:val="en-US" w:eastAsia="zh-CN"/>
              </w:rPr>
            </w:pPr>
            <w:r>
              <w:rPr>
                <w:rFonts w:hint="eastAsia" w:eastAsia="宋体"/>
                <w:kern w:val="0"/>
                <w:sz w:val="24"/>
                <w:lang w:val="en-US" w:eastAsia="zh-CN"/>
              </w:rPr>
              <w:t>12</w:t>
            </w:r>
          </w:p>
        </w:tc>
      </w:tr>
      <w:tr w14:paraId="0407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45A9108F">
            <w:pPr>
              <w:widowControl/>
              <w:snapToGrid w:val="0"/>
              <w:jc w:val="center"/>
              <w:rPr>
                <w:rFonts w:eastAsia="宋体"/>
                <w:kern w:val="0"/>
                <w:sz w:val="20"/>
                <w:szCs w:val="20"/>
              </w:rPr>
            </w:pPr>
            <w:r>
              <w:rPr>
                <w:rFonts w:hint="eastAsia" w:ascii="宋体" w:hAnsi="宋体" w:eastAsia="宋体"/>
                <w:kern w:val="0"/>
                <w:sz w:val="20"/>
                <w:szCs w:val="20"/>
              </w:rPr>
              <w:t>物流工程</w:t>
            </w:r>
          </w:p>
        </w:tc>
        <w:tc>
          <w:tcPr>
            <w:tcW w:w="341" w:type="pct"/>
            <w:vMerge w:val="continue"/>
            <w:vAlign w:val="center"/>
          </w:tcPr>
          <w:p w14:paraId="01ED2102">
            <w:pPr>
              <w:widowControl/>
              <w:snapToGrid w:val="0"/>
              <w:jc w:val="left"/>
              <w:rPr>
                <w:rFonts w:eastAsia="宋体"/>
                <w:kern w:val="0"/>
                <w:sz w:val="20"/>
                <w:szCs w:val="20"/>
              </w:rPr>
            </w:pPr>
          </w:p>
        </w:tc>
        <w:tc>
          <w:tcPr>
            <w:tcW w:w="452" w:type="pct"/>
            <w:shd w:val="clear" w:color="000000" w:fill="D8E4BC"/>
            <w:noWrap/>
            <w:vAlign w:val="center"/>
          </w:tcPr>
          <w:p w14:paraId="01180227">
            <w:pPr>
              <w:widowControl/>
              <w:snapToGrid w:val="0"/>
              <w:jc w:val="center"/>
              <w:rPr>
                <w:rFonts w:eastAsia="宋体"/>
                <w:kern w:val="0"/>
                <w:sz w:val="24"/>
              </w:rPr>
            </w:pPr>
            <w:r>
              <w:rPr>
                <w:rFonts w:eastAsia="宋体"/>
                <w:kern w:val="0"/>
                <w:sz w:val="24"/>
              </w:rPr>
              <w:t xml:space="preserve">30 </w:t>
            </w:r>
          </w:p>
        </w:tc>
        <w:tc>
          <w:tcPr>
            <w:tcW w:w="504" w:type="pct"/>
            <w:shd w:val="clear" w:color="000000" w:fill="D8E4BC"/>
            <w:vAlign w:val="center"/>
          </w:tcPr>
          <w:p w14:paraId="11173D08">
            <w:pPr>
              <w:widowControl/>
              <w:snapToGrid w:val="0"/>
              <w:jc w:val="center"/>
              <w:rPr>
                <w:rFonts w:hint="eastAsia" w:eastAsia="宋体"/>
                <w:kern w:val="0"/>
                <w:sz w:val="24"/>
                <w:lang w:val="en-US" w:eastAsia="zh-CN"/>
              </w:rPr>
            </w:pPr>
            <w:r>
              <w:rPr>
                <w:rFonts w:hint="eastAsia" w:eastAsia="宋体"/>
                <w:kern w:val="0"/>
                <w:sz w:val="24"/>
                <w:lang w:val="en-US" w:eastAsia="zh-CN"/>
              </w:rPr>
              <w:t>7</w:t>
            </w:r>
          </w:p>
        </w:tc>
        <w:tc>
          <w:tcPr>
            <w:tcW w:w="391" w:type="pct"/>
            <w:shd w:val="clear" w:color="000000" w:fill="D8E4BC"/>
            <w:vAlign w:val="center"/>
          </w:tcPr>
          <w:p w14:paraId="438D227C">
            <w:pPr>
              <w:widowControl/>
              <w:snapToGrid w:val="0"/>
              <w:jc w:val="center"/>
              <w:rPr>
                <w:rFonts w:hint="eastAsia" w:eastAsia="宋体"/>
                <w:kern w:val="0"/>
                <w:sz w:val="24"/>
                <w:lang w:val="en-US" w:eastAsia="zh-CN"/>
              </w:rPr>
            </w:pPr>
            <w:r>
              <w:rPr>
                <w:rFonts w:hint="eastAsia" w:eastAsia="宋体"/>
                <w:kern w:val="0"/>
                <w:sz w:val="24"/>
                <w:lang w:val="en-US" w:eastAsia="zh-CN"/>
              </w:rPr>
              <w:t>2</w:t>
            </w:r>
          </w:p>
        </w:tc>
        <w:tc>
          <w:tcPr>
            <w:tcW w:w="470" w:type="pct"/>
            <w:shd w:val="clear" w:color="000000" w:fill="D8E4BC"/>
            <w:noWrap/>
            <w:vAlign w:val="center"/>
          </w:tcPr>
          <w:p w14:paraId="1870B9CF">
            <w:pPr>
              <w:widowControl/>
              <w:snapToGrid w:val="0"/>
              <w:jc w:val="center"/>
              <w:rPr>
                <w:rFonts w:hint="default" w:eastAsia="宋体"/>
                <w:kern w:val="0"/>
                <w:sz w:val="24"/>
                <w:lang w:val="en-US" w:eastAsia="zh-CN"/>
              </w:rPr>
            </w:pPr>
            <w:r>
              <w:rPr>
                <w:rFonts w:hint="eastAsia" w:eastAsia="宋体"/>
                <w:kern w:val="0"/>
                <w:sz w:val="24"/>
                <w:lang w:val="en-US" w:eastAsia="zh-CN"/>
              </w:rPr>
              <w:t>10</w:t>
            </w:r>
          </w:p>
        </w:tc>
        <w:tc>
          <w:tcPr>
            <w:tcW w:w="391" w:type="pct"/>
            <w:shd w:val="clear" w:color="000000" w:fill="D8E4BC"/>
            <w:noWrap/>
            <w:vAlign w:val="center"/>
          </w:tcPr>
          <w:p w14:paraId="3795002F">
            <w:pPr>
              <w:widowControl/>
              <w:snapToGrid w:val="0"/>
              <w:jc w:val="center"/>
              <w:rPr>
                <w:rFonts w:hint="default" w:eastAsia="宋体"/>
                <w:kern w:val="0"/>
                <w:sz w:val="24"/>
                <w:lang w:val="en-US" w:eastAsia="zh-CN"/>
              </w:rPr>
            </w:pPr>
            <w:r>
              <w:rPr>
                <w:rFonts w:hint="eastAsia" w:eastAsia="宋体"/>
                <w:kern w:val="0"/>
                <w:sz w:val="24"/>
                <w:lang w:val="en-US" w:eastAsia="zh-CN"/>
              </w:rPr>
              <w:t>19</w:t>
            </w:r>
          </w:p>
        </w:tc>
        <w:tc>
          <w:tcPr>
            <w:tcW w:w="548" w:type="pct"/>
            <w:shd w:val="clear" w:color="000000" w:fill="D8E4BC"/>
            <w:vAlign w:val="center"/>
          </w:tcPr>
          <w:p w14:paraId="6A34D793">
            <w:pPr>
              <w:widowControl/>
              <w:snapToGrid w:val="0"/>
              <w:jc w:val="center"/>
              <w:rPr>
                <w:rFonts w:hint="eastAsia" w:eastAsia="宋体"/>
                <w:kern w:val="0"/>
                <w:sz w:val="24"/>
                <w:lang w:val="en-US" w:eastAsia="zh-CN"/>
              </w:rPr>
            </w:pPr>
            <w:r>
              <w:rPr>
                <w:rFonts w:hint="eastAsia" w:eastAsia="宋体"/>
                <w:kern w:val="0"/>
                <w:sz w:val="24"/>
                <w:lang w:val="en-US" w:eastAsia="zh-CN"/>
              </w:rPr>
              <w:t>4</w:t>
            </w:r>
          </w:p>
        </w:tc>
        <w:tc>
          <w:tcPr>
            <w:tcW w:w="391" w:type="pct"/>
            <w:shd w:val="clear" w:color="000000" w:fill="D8E4BC"/>
            <w:vAlign w:val="center"/>
          </w:tcPr>
          <w:p w14:paraId="083F0DB4">
            <w:pPr>
              <w:widowControl/>
              <w:snapToGrid w:val="0"/>
              <w:jc w:val="center"/>
              <w:rPr>
                <w:rFonts w:hint="eastAsia" w:eastAsia="宋体"/>
                <w:kern w:val="0"/>
                <w:sz w:val="24"/>
                <w:lang w:val="en-US" w:eastAsia="zh-CN"/>
              </w:rPr>
            </w:pPr>
            <w:r>
              <w:rPr>
                <w:rFonts w:hint="eastAsia" w:eastAsia="宋体"/>
                <w:kern w:val="0"/>
                <w:sz w:val="24"/>
                <w:lang w:val="en-US" w:eastAsia="zh-CN"/>
              </w:rPr>
              <w:t>2</w:t>
            </w:r>
          </w:p>
        </w:tc>
        <w:tc>
          <w:tcPr>
            <w:tcW w:w="469" w:type="pct"/>
            <w:shd w:val="clear" w:color="000000" w:fill="D8E4BC"/>
            <w:noWrap/>
            <w:vAlign w:val="center"/>
          </w:tcPr>
          <w:p w14:paraId="75FD6A0F">
            <w:pPr>
              <w:widowControl/>
              <w:snapToGrid w:val="0"/>
              <w:jc w:val="center"/>
              <w:rPr>
                <w:rFonts w:hint="eastAsia" w:eastAsia="宋体"/>
                <w:kern w:val="0"/>
                <w:sz w:val="24"/>
                <w:lang w:val="en-US" w:eastAsia="zh-CN"/>
              </w:rPr>
            </w:pPr>
            <w:r>
              <w:rPr>
                <w:rFonts w:hint="eastAsia" w:eastAsia="宋体"/>
                <w:kern w:val="0"/>
                <w:sz w:val="24"/>
                <w:lang w:val="en-US" w:eastAsia="zh-CN"/>
              </w:rPr>
              <w:t>5</w:t>
            </w:r>
          </w:p>
        </w:tc>
        <w:tc>
          <w:tcPr>
            <w:tcW w:w="387" w:type="pct"/>
            <w:shd w:val="clear" w:color="000000" w:fill="D8E4BC"/>
            <w:noWrap/>
            <w:vAlign w:val="center"/>
          </w:tcPr>
          <w:p w14:paraId="15DAC015">
            <w:pPr>
              <w:widowControl/>
              <w:snapToGrid w:val="0"/>
              <w:jc w:val="center"/>
              <w:rPr>
                <w:rFonts w:hint="default" w:eastAsia="宋体"/>
                <w:kern w:val="0"/>
                <w:sz w:val="24"/>
                <w:lang w:val="en-US" w:eastAsia="zh-CN"/>
              </w:rPr>
            </w:pPr>
            <w:r>
              <w:rPr>
                <w:rFonts w:hint="eastAsia" w:eastAsia="宋体"/>
                <w:kern w:val="0"/>
                <w:sz w:val="24"/>
                <w:lang w:val="en-US" w:eastAsia="zh-CN"/>
              </w:rPr>
              <w:t>11</w:t>
            </w:r>
          </w:p>
        </w:tc>
      </w:tr>
      <w:tr w14:paraId="4A20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3266F409">
            <w:pPr>
              <w:widowControl/>
              <w:snapToGrid w:val="0"/>
              <w:jc w:val="center"/>
              <w:rPr>
                <w:rFonts w:eastAsia="宋体"/>
                <w:kern w:val="0"/>
                <w:sz w:val="20"/>
                <w:szCs w:val="20"/>
              </w:rPr>
            </w:pPr>
            <w:r>
              <w:rPr>
                <w:rFonts w:hint="eastAsia" w:ascii="宋体" w:hAnsi="宋体" w:eastAsia="宋体"/>
                <w:kern w:val="0"/>
                <w:sz w:val="20"/>
                <w:szCs w:val="20"/>
              </w:rPr>
              <w:t>工业工程</w:t>
            </w:r>
          </w:p>
        </w:tc>
        <w:tc>
          <w:tcPr>
            <w:tcW w:w="341" w:type="pct"/>
            <w:vMerge w:val="continue"/>
            <w:vAlign w:val="center"/>
          </w:tcPr>
          <w:p w14:paraId="32ACBB63">
            <w:pPr>
              <w:widowControl/>
              <w:snapToGrid w:val="0"/>
              <w:jc w:val="left"/>
              <w:rPr>
                <w:rFonts w:eastAsia="宋体"/>
                <w:kern w:val="0"/>
                <w:sz w:val="20"/>
                <w:szCs w:val="20"/>
              </w:rPr>
            </w:pPr>
          </w:p>
        </w:tc>
        <w:tc>
          <w:tcPr>
            <w:tcW w:w="452" w:type="pct"/>
            <w:shd w:val="clear" w:color="000000" w:fill="D8E4BC"/>
            <w:noWrap/>
            <w:vAlign w:val="center"/>
          </w:tcPr>
          <w:p w14:paraId="279D8EB2">
            <w:pPr>
              <w:widowControl/>
              <w:snapToGrid w:val="0"/>
              <w:jc w:val="center"/>
              <w:rPr>
                <w:rFonts w:eastAsia="宋体"/>
                <w:kern w:val="0"/>
                <w:sz w:val="24"/>
              </w:rPr>
            </w:pPr>
            <w:r>
              <w:rPr>
                <w:rFonts w:eastAsia="宋体"/>
                <w:kern w:val="0"/>
                <w:sz w:val="24"/>
              </w:rPr>
              <w:t xml:space="preserve">60 </w:t>
            </w:r>
          </w:p>
        </w:tc>
        <w:tc>
          <w:tcPr>
            <w:tcW w:w="504" w:type="pct"/>
            <w:shd w:val="clear" w:color="000000" w:fill="D8E4BC"/>
            <w:vAlign w:val="center"/>
          </w:tcPr>
          <w:p w14:paraId="62781250">
            <w:pPr>
              <w:widowControl/>
              <w:snapToGrid w:val="0"/>
              <w:jc w:val="center"/>
              <w:rPr>
                <w:rFonts w:hint="default" w:eastAsia="宋体"/>
                <w:kern w:val="0"/>
                <w:sz w:val="24"/>
                <w:lang w:val="en-US" w:eastAsia="zh-CN"/>
              </w:rPr>
            </w:pPr>
            <w:r>
              <w:rPr>
                <w:rFonts w:hint="eastAsia" w:eastAsia="宋体"/>
                <w:kern w:val="0"/>
                <w:sz w:val="24"/>
                <w:lang w:val="en-US" w:eastAsia="zh-CN"/>
              </w:rPr>
              <w:t>16</w:t>
            </w:r>
          </w:p>
        </w:tc>
        <w:tc>
          <w:tcPr>
            <w:tcW w:w="391" w:type="pct"/>
            <w:shd w:val="clear" w:color="000000" w:fill="D8E4BC"/>
            <w:vAlign w:val="center"/>
          </w:tcPr>
          <w:p w14:paraId="33636420">
            <w:pPr>
              <w:widowControl/>
              <w:snapToGrid w:val="0"/>
              <w:jc w:val="center"/>
              <w:rPr>
                <w:rFonts w:hint="eastAsia" w:eastAsia="宋体"/>
                <w:kern w:val="0"/>
                <w:sz w:val="24"/>
                <w:lang w:val="en-US" w:eastAsia="zh-CN"/>
              </w:rPr>
            </w:pPr>
            <w:r>
              <w:rPr>
                <w:rFonts w:hint="eastAsia" w:eastAsia="宋体"/>
                <w:kern w:val="0"/>
                <w:sz w:val="24"/>
                <w:lang w:val="en-US" w:eastAsia="zh-CN"/>
              </w:rPr>
              <w:t>5</w:t>
            </w:r>
          </w:p>
        </w:tc>
        <w:tc>
          <w:tcPr>
            <w:tcW w:w="470" w:type="pct"/>
            <w:shd w:val="clear" w:color="000000" w:fill="D8E4BC"/>
            <w:noWrap/>
            <w:vAlign w:val="center"/>
          </w:tcPr>
          <w:p w14:paraId="0704EA08">
            <w:pPr>
              <w:widowControl/>
              <w:snapToGrid w:val="0"/>
              <w:jc w:val="center"/>
              <w:rPr>
                <w:rFonts w:hint="default" w:eastAsia="宋体"/>
                <w:kern w:val="0"/>
                <w:sz w:val="24"/>
                <w:lang w:val="en-US" w:eastAsia="zh-CN"/>
              </w:rPr>
            </w:pPr>
            <w:r>
              <w:rPr>
                <w:rFonts w:hint="eastAsia" w:eastAsia="宋体"/>
                <w:kern w:val="0"/>
                <w:sz w:val="24"/>
                <w:lang w:val="en-US" w:eastAsia="zh-CN"/>
              </w:rPr>
              <w:t>20</w:t>
            </w:r>
          </w:p>
        </w:tc>
        <w:tc>
          <w:tcPr>
            <w:tcW w:w="391" w:type="pct"/>
            <w:shd w:val="clear" w:color="000000" w:fill="D8E4BC"/>
            <w:noWrap/>
            <w:vAlign w:val="center"/>
          </w:tcPr>
          <w:p w14:paraId="6292F68B">
            <w:pPr>
              <w:widowControl/>
              <w:snapToGrid w:val="0"/>
              <w:jc w:val="center"/>
              <w:rPr>
                <w:rFonts w:hint="default" w:eastAsia="宋体"/>
                <w:kern w:val="0"/>
                <w:sz w:val="24"/>
                <w:lang w:val="en-US" w:eastAsia="zh-CN"/>
              </w:rPr>
            </w:pPr>
            <w:r>
              <w:rPr>
                <w:rFonts w:hint="eastAsia" w:eastAsia="宋体"/>
                <w:kern w:val="0"/>
                <w:sz w:val="24"/>
                <w:lang w:val="en-US" w:eastAsia="zh-CN"/>
              </w:rPr>
              <w:t>41</w:t>
            </w:r>
          </w:p>
        </w:tc>
        <w:tc>
          <w:tcPr>
            <w:tcW w:w="548" w:type="pct"/>
            <w:shd w:val="clear" w:color="000000" w:fill="D8E4BC"/>
            <w:vAlign w:val="center"/>
          </w:tcPr>
          <w:p w14:paraId="3B0910D5">
            <w:pPr>
              <w:widowControl/>
              <w:snapToGrid w:val="0"/>
              <w:jc w:val="center"/>
              <w:rPr>
                <w:rFonts w:hint="eastAsia" w:eastAsia="宋体"/>
                <w:kern w:val="0"/>
                <w:sz w:val="24"/>
                <w:lang w:val="en-US" w:eastAsia="zh-CN"/>
              </w:rPr>
            </w:pPr>
            <w:r>
              <w:rPr>
                <w:rFonts w:hint="eastAsia" w:eastAsia="宋体"/>
                <w:kern w:val="0"/>
                <w:sz w:val="24"/>
                <w:lang w:val="en-US" w:eastAsia="zh-CN"/>
              </w:rPr>
              <w:t>7</w:t>
            </w:r>
          </w:p>
        </w:tc>
        <w:tc>
          <w:tcPr>
            <w:tcW w:w="391" w:type="pct"/>
            <w:shd w:val="clear" w:color="000000" w:fill="D8E4BC"/>
            <w:vAlign w:val="center"/>
          </w:tcPr>
          <w:p w14:paraId="65D78927">
            <w:pPr>
              <w:widowControl/>
              <w:snapToGrid w:val="0"/>
              <w:jc w:val="center"/>
              <w:rPr>
                <w:rFonts w:hint="eastAsia" w:eastAsia="宋体"/>
                <w:kern w:val="0"/>
                <w:sz w:val="24"/>
                <w:lang w:val="en-US" w:eastAsia="zh-CN"/>
              </w:rPr>
            </w:pPr>
            <w:r>
              <w:rPr>
                <w:rFonts w:hint="eastAsia" w:eastAsia="宋体"/>
                <w:kern w:val="0"/>
                <w:sz w:val="24"/>
                <w:lang w:val="en-US" w:eastAsia="zh-CN"/>
              </w:rPr>
              <w:t>3</w:t>
            </w:r>
          </w:p>
        </w:tc>
        <w:tc>
          <w:tcPr>
            <w:tcW w:w="469" w:type="pct"/>
            <w:shd w:val="clear" w:color="000000" w:fill="D8E4BC"/>
            <w:noWrap/>
            <w:vAlign w:val="center"/>
          </w:tcPr>
          <w:p w14:paraId="18B58BD7">
            <w:pPr>
              <w:widowControl/>
              <w:snapToGrid w:val="0"/>
              <w:jc w:val="center"/>
              <w:rPr>
                <w:rFonts w:hint="eastAsia" w:eastAsia="宋体"/>
                <w:kern w:val="0"/>
                <w:sz w:val="24"/>
                <w:lang w:val="en-US" w:eastAsia="zh-CN"/>
              </w:rPr>
            </w:pPr>
            <w:r>
              <w:rPr>
                <w:rFonts w:hint="eastAsia" w:eastAsia="宋体"/>
                <w:kern w:val="0"/>
                <w:sz w:val="24"/>
                <w:lang w:val="en-US" w:eastAsia="zh-CN"/>
              </w:rPr>
              <w:t>9</w:t>
            </w:r>
          </w:p>
        </w:tc>
        <w:tc>
          <w:tcPr>
            <w:tcW w:w="387" w:type="pct"/>
            <w:shd w:val="clear" w:color="000000" w:fill="D8E4BC"/>
            <w:noWrap/>
            <w:vAlign w:val="center"/>
          </w:tcPr>
          <w:p w14:paraId="07C27573">
            <w:pPr>
              <w:widowControl/>
              <w:snapToGrid w:val="0"/>
              <w:jc w:val="center"/>
              <w:rPr>
                <w:rFonts w:hint="default" w:eastAsia="宋体"/>
                <w:kern w:val="0"/>
                <w:sz w:val="24"/>
                <w:lang w:val="en-US" w:eastAsia="zh-CN"/>
              </w:rPr>
            </w:pPr>
            <w:r>
              <w:rPr>
                <w:rFonts w:hint="eastAsia" w:eastAsia="宋体"/>
                <w:kern w:val="0"/>
                <w:sz w:val="24"/>
                <w:lang w:val="en-US" w:eastAsia="zh-CN"/>
              </w:rPr>
              <w:t>19</w:t>
            </w:r>
          </w:p>
        </w:tc>
      </w:tr>
      <w:tr w14:paraId="4CFD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D8E4BC"/>
            <w:vAlign w:val="center"/>
          </w:tcPr>
          <w:p w14:paraId="5A373702">
            <w:pPr>
              <w:widowControl/>
              <w:snapToGrid w:val="0"/>
              <w:jc w:val="center"/>
              <w:rPr>
                <w:rFonts w:eastAsia="宋体"/>
                <w:kern w:val="0"/>
                <w:sz w:val="20"/>
                <w:szCs w:val="20"/>
              </w:rPr>
            </w:pPr>
            <w:r>
              <w:rPr>
                <w:rFonts w:hint="eastAsia" w:ascii="宋体" w:hAnsi="宋体" w:eastAsia="宋体"/>
                <w:kern w:val="0"/>
                <w:sz w:val="20"/>
                <w:szCs w:val="20"/>
              </w:rPr>
              <w:t>合计</w:t>
            </w:r>
          </w:p>
        </w:tc>
        <w:tc>
          <w:tcPr>
            <w:tcW w:w="341" w:type="pct"/>
            <w:vMerge w:val="continue"/>
            <w:vAlign w:val="center"/>
          </w:tcPr>
          <w:p w14:paraId="134625EA">
            <w:pPr>
              <w:widowControl/>
              <w:snapToGrid w:val="0"/>
              <w:jc w:val="left"/>
              <w:rPr>
                <w:rFonts w:eastAsia="宋体"/>
                <w:kern w:val="0"/>
                <w:sz w:val="20"/>
                <w:szCs w:val="20"/>
              </w:rPr>
            </w:pPr>
          </w:p>
        </w:tc>
        <w:tc>
          <w:tcPr>
            <w:tcW w:w="452" w:type="pct"/>
            <w:shd w:val="clear" w:color="000000" w:fill="D8E4BC"/>
            <w:vAlign w:val="center"/>
          </w:tcPr>
          <w:p w14:paraId="052941DA">
            <w:pPr>
              <w:widowControl/>
              <w:snapToGrid w:val="0"/>
              <w:jc w:val="center"/>
              <w:rPr>
                <w:rFonts w:eastAsia="宋体"/>
                <w:kern w:val="0"/>
                <w:sz w:val="24"/>
              </w:rPr>
            </w:pPr>
            <w:r>
              <w:rPr>
                <w:rFonts w:eastAsia="宋体"/>
                <w:kern w:val="0"/>
                <w:sz w:val="24"/>
              </w:rPr>
              <w:t>376</w:t>
            </w:r>
          </w:p>
        </w:tc>
        <w:tc>
          <w:tcPr>
            <w:tcW w:w="504" w:type="pct"/>
            <w:shd w:val="clear" w:color="000000" w:fill="D8E4BC"/>
            <w:vAlign w:val="center"/>
          </w:tcPr>
          <w:p w14:paraId="1ACFF262">
            <w:pPr>
              <w:widowControl/>
              <w:snapToGrid w:val="0"/>
              <w:jc w:val="center"/>
              <w:rPr>
                <w:rFonts w:hint="default" w:eastAsia="宋体"/>
                <w:kern w:val="0"/>
                <w:sz w:val="24"/>
                <w:lang w:val="en-US" w:eastAsia="zh-CN"/>
              </w:rPr>
            </w:pPr>
            <w:r>
              <w:rPr>
                <w:rFonts w:hint="eastAsia" w:eastAsia="宋体"/>
                <w:kern w:val="0"/>
                <w:sz w:val="24"/>
                <w:lang w:val="en-US" w:eastAsia="zh-CN"/>
              </w:rPr>
              <w:t>98</w:t>
            </w:r>
          </w:p>
        </w:tc>
        <w:tc>
          <w:tcPr>
            <w:tcW w:w="391" w:type="pct"/>
            <w:shd w:val="clear" w:color="000000" w:fill="D8E4BC"/>
            <w:vAlign w:val="center"/>
          </w:tcPr>
          <w:p w14:paraId="36925732">
            <w:pPr>
              <w:widowControl/>
              <w:snapToGrid w:val="0"/>
              <w:jc w:val="center"/>
              <w:rPr>
                <w:rFonts w:hint="default" w:eastAsia="宋体"/>
                <w:kern w:val="0"/>
                <w:sz w:val="24"/>
                <w:lang w:val="en-US" w:eastAsia="zh-CN"/>
              </w:rPr>
            </w:pPr>
            <w:r>
              <w:rPr>
                <w:rFonts w:hint="eastAsia" w:eastAsia="宋体"/>
                <w:kern w:val="0"/>
                <w:sz w:val="24"/>
                <w:lang w:val="en-US" w:eastAsia="zh-CN"/>
              </w:rPr>
              <w:t>31</w:t>
            </w:r>
          </w:p>
        </w:tc>
        <w:tc>
          <w:tcPr>
            <w:tcW w:w="470" w:type="pct"/>
            <w:shd w:val="clear" w:color="000000" w:fill="D8E4BC"/>
            <w:vAlign w:val="center"/>
          </w:tcPr>
          <w:p w14:paraId="2727D87B">
            <w:pPr>
              <w:widowControl/>
              <w:snapToGrid w:val="0"/>
              <w:jc w:val="center"/>
              <w:rPr>
                <w:rFonts w:hint="default" w:eastAsia="宋体"/>
                <w:kern w:val="0"/>
                <w:sz w:val="24"/>
                <w:lang w:val="en-US" w:eastAsia="zh-CN"/>
              </w:rPr>
            </w:pPr>
            <w:r>
              <w:rPr>
                <w:rFonts w:hint="eastAsia" w:eastAsia="宋体"/>
                <w:kern w:val="0"/>
                <w:sz w:val="24"/>
                <w:lang w:val="en-US" w:eastAsia="zh-CN"/>
              </w:rPr>
              <w:t>126</w:t>
            </w:r>
          </w:p>
        </w:tc>
        <w:tc>
          <w:tcPr>
            <w:tcW w:w="391" w:type="pct"/>
            <w:shd w:val="clear" w:color="000000" w:fill="D8E4BC"/>
            <w:vAlign w:val="center"/>
          </w:tcPr>
          <w:p w14:paraId="3EA8ACD1">
            <w:pPr>
              <w:widowControl/>
              <w:snapToGrid w:val="0"/>
              <w:jc w:val="center"/>
              <w:rPr>
                <w:rFonts w:hint="default" w:eastAsia="宋体"/>
                <w:kern w:val="0"/>
                <w:sz w:val="24"/>
                <w:lang w:val="en-US" w:eastAsia="zh-CN"/>
              </w:rPr>
            </w:pPr>
            <w:r>
              <w:rPr>
                <w:rFonts w:hint="eastAsia" w:eastAsia="宋体"/>
                <w:kern w:val="0"/>
                <w:sz w:val="24"/>
                <w:lang w:val="en-US" w:eastAsia="zh-CN"/>
              </w:rPr>
              <w:t>255</w:t>
            </w:r>
          </w:p>
        </w:tc>
        <w:tc>
          <w:tcPr>
            <w:tcW w:w="548" w:type="pct"/>
            <w:shd w:val="clear" w:color="000000" w:fill="D8E4BC"/>
            <w:vAlign w:val="center"/>
          </w:tcPr>
          <w:p w14:paraId="67FAA85D">
            <w:pPr>
              <w:widowControl/>
              <w:snapToGrid w:val="0"/>
              <w:jc w:val="center"/>
              <w:rPr>
                <w:rFonts w:hint="default" w:eastAsia="宋体"/>
                <w:kern w:val="0"/>
                <w:sz w:val="24"/>
                <w:lang w:val="en-US" w:eastAsia="zh-CN"/>
              </w:rPr>
            </w:pPr>
            <w:r>
              <w:rPr>
                <w:rFonts w:hint="eastAsia" w:eastAsia="宋体"/>
                <w:kern w:val="0"/>
                <w:sz w:val="24"/>
                <w:lang w:val="en-US" w:eastAsia="zh-CN"/>
              </w:rPr>
              <w:t>44</w:t>
            </w:r>
          </w:p>
        </w:tc>
        <w:tc>
          <w:tcPr>
            <w:tcW w:w="391" w:type="pct"/>
            <w:shd w:val="clear" w:color="000000" w:fill="D8E4BC"/>
            <w:vAlign w:val="center"/>
          </w:tcPr>
          <w:p w14:paraId="1619DAD8">
            <w:pPr>
              <w:widowControl/>
              <w:snapToGrid w:val="0"/>
              <w:jc w:val="center"/>
              <w:rPr>
                <w:rFonts w:hint="default" w:eastAsia="宋体"/>
                <w:kern w:val="0"/>
                <w:sz w:val="24"/>
                <w:lang w:val="en-US" w:eastAsia="zh-CN"/>
              </w:rPr>
            </w:pPr>
            <w:r>
              <w:rPr>
                <w:rFonts w:hint="eastAsia" w:eastAsia="宋体"/>
                <w:kern w:val="0"/>
                <w:sz w:val="24"/>
                <w:lang w:val="en-US" w:eastAsia="zh-CN"/>
              </w:rPr>
              <w:t>19</w:t>
            </w:r>
          </w:p>
        </w:tc>
        <w:tc>
          <w:tcPr>
            <w:tcW w:w="469" w:type="pct"/>
            <w:shd w:val="clear" w:color="000000" w:fill="D8E4BC"/>
            <w:vAlign w:val="center"/>
          </w:tcPr>
          <w:p w14:paraId="78ED48E3">
            <w:pPr>
              <w:widowControl/>
              <w:snapToGrid w:val="0"/>
              <w:jc w:val="center"/>
              <w:rPr>
                <w:rFonts w:hint="default" w:eastAsia="宋体"/>
                <w:kern w:val="0"/>
                <w:sz w:val="24"/>
                <w:lang w:val="en-US" w:eastAsia="zh-CN"/>
              </w:rPr>
            </w:pPr>
            <w:r>
              <w:rPr>
                <w:rFonts w:hint="eastAsia" w:eastAsia="宋体"/>
                <w:kern w:val="0"/>
                <w:sz w:val="24"/>
                <w:lang w:val="en-US" w:eastAsia="zh-CN"/>
              </w:rPr>
              <w:t>58</w:t>
            </w:r>
          </w:p>
        </w:tc>
        <w:tc>
          <w:tcPr>
            <w:tcW w:w="387" w:type="pct"/>
            <w:shd w:val="clear" w:color="000000" w:fill="D8E4BC"/>
            <w:vAlign w:val="center"/>
          </w:tcPr>
          <w:p w14:paraId="4212240D">
            <w:pPr>
              <w:widowControl/>
              <w:snapToGrid w:val="0"/>
              <w:jc w:val="center"/>
              <w:rPr>
                <w:rFonts w:hint="default" w:eastAsia="宋体"/>
                <w:kern w:val="0"/>
                <w:sz w:val="24"/>
                <w:lang w:val="en-US" w:eastAsia="zh-CN"/>
              </w:rPr>
            </w:pPr>
            <w:r>
              <w:rPr>
                <w:rFonts w:hint="eastAsia" w:eastAsia="宋体"/>
                <w:kern w:val="0"/>
                <w:sz w:val="24"/>
                <w:lang w:val="en-US" w:eastAsia="zh-CN"/>
              </w:rPr>
              <w:t>121</w:t>
            </w:r>
          </w:p>
        </w:tc>
      </w:tr>
      <w:tr w14:paraId="4A1E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vMerge w:val="restart"/>
            <w:shd w:val="clear" w:color="000000" w:fill="FABF8F"/>
            <w:vAlign w:val="center"/>
          </w:tcPr>
          <w:p w14:paraId="42074CB6">
            <w:pPr>
              <w:widowControl/>
              <w:snapToGrid w:val="0"/>
              <w:jc w:val="center"/>
              <w:rPr>
                <w:rFonts w:eastAsia="宋体"/>
                <w:kern w:val="0"/>
                <w:sz w:val="20"/>
                <w:szCs w:val="20"/>
              </w:rPr>
            </w:pPr>
            <w:r>
              <w:rPr>
                <w:rFonts w:hint="eastAsia" w:ascii="宋体" w:hAnsi="宋体" w:eastAsia="宋体"/>
                <w:kern w:val="0"/>
                <w:sz w:val="20"/>
                <w:szCs w:val="20"/>
              </w:rPr>
              <w:t>机器人工程</w:t>
            </w:r>
          </w:p>
        </w:tc>
        <w:tc>
          <w:tcPr>
            <w:tcW w:w="341" w:type="pct"/>
            <w:shd w:val="clear" w:color="000000" w:fill="FABF8F"/>
            <w:vAlign w:val="center"/>
          </w:tcPr>
          <w:p w14:paraId="2D16ABA0">
            <w:pPr>
              <w:widowControl/>
              <w:snapToGrid w:val="0"/>
              <w:jc w:val="center"/>
              <w:rPr>
                <w:rFonts w:eastAsia="宋体"/>
                <w:kern w:val="0"/>
                <w:sz w:val="20"/>
                <w:szCs w:val="20"/>
              </w:rPr>
            </w:pPr>
            <w:r>
              <w:rPr>
                <w:rFonts w:hint="eastAsia" w:ascii="宋体" w:hAnsi="宋体" w:eastAsia="宋体"/>
                <w:kern w:val="0"/>
                <w:sz w:val="20"/>
                <w:szCs w:val="20"/>
              </w:rPr>
              <w:t>机械</w:t>
            </w:r>
          </w:p>
        </w:tc>
        <w:tc>
          <w:tcPr>
            <w:tcW w:w="452" w:type="pct"/>
            <w:shd w:val="clear" w:color="000000" w:fill="FABF8F"/>
            <w:vAlign w:val="center"/>
          </w:tcPr>
          <w:p w14:paraId="59C2D3DE">
            <w:pPr>
              <w:widowControl/>
              <w:snapToGrid w:val="0"/>
              <w:jc w:val="center"/>
              <w:rPr>
                <w:rFonts w:eastAsia="宋体"/>
                <w:kern w:val="0"/>
                <w:sz w:val="24"/>
              </w:rPr>
            </w:pPr>
            <w:r>
              <w:rPr>
                <w:rFonts w:eastAsia="宋体"/>
                <w:kern w:val="0"/>
                <w:sz w:val="24"/>
              </w:rPr>
              <w:t>95</w:t>
            </w:r>
          </w:p>
        </w:tc>
        <w:tc>
          <w:tcPr>
            <w:tcW w:w="504" w:type="pct"/>
            <w:shd w:val="clear" w:color="000000" w:fill="FABF8F"/>
            <w:vAlign w:val="center"/>
          </w:tcPr>
          <w:p w14:paraId="2246D513">
            <w:pPr>
              <w:widowControl/>
              <w:snapToGrid w:val="0"/>
              <w:jc w:val="center"/>
              <w:rPr>
                <w:rFonts w:hint="default" w:eastAsia="宋体"/>
                <w:kern w:val="0"/>
                <w:sz w:val="24"/>
                <w:lang w:val="en-US" w:eastAsia="zh-CN"/>
              </w:rPr>
            </w:pPr>
            <w:r>
              <w:rPr>
                <w:rFonts w:hint="eastAsia" w:eastAsia="宋体"/>
                <w:kern w:val="0"/>
                <w:sz w:val="24"/>
                <w:lang w:val="en-US" w:eastAsia="zh-CN"/>
              </w:rPr>
              <w:t>32</w:t>
            </w:r>
          </w:p>
        </w:tc>
        <w:tc>
          <w:tcPr>
            <w:tcW w:w="391" w:type="pct"/>
            <w:shd w:val="clear" w:color="000000" w:fill="FABF8F"/>
            <w:vAlign w:val="center"/>
          </w:tcPr>
          <w:p w14:paraId="1269032F">
            <w:pPr>
              <w:widowControl/>
              <w:snapToGrid w:val="0"/>
              <w:jc w:val="center"/>
              <w:rPr>
                <w:rFonts w:hint="eastAsia" w:eastAsia="宋体"/>
                <w:kern w:val="0"/>
                <w:sz w:val="24"/>
                <w:lang w:val="en-US" w:eastAsia="zh-CN"/>
              </w:rPr>
            </w:pPr>
            <w:r>
              <w:rPr>
                <w:rFonts w:hint="eastAsia" w:eastAsia="宋体"/>
                <w:kern w:val="0"/>
                <w:sz w:val="24"/>
                <w:lang w:val="en-US" w:eastAsia="zh-CN"/>
              </w:rPr>
              <w:t>5</w:t>
            </w:r>
          </w:p>
        </w:tc>
        <w:tc>
          <w:tcPr>
            <w:tcW w:w="470" w:type="pct"/>
            <w:shd w:val="clear" w:color="000000" w:fill="FABF8F"/>
            <w:vAlign w:val="center"/>
          </w:tcPr>
          <w:p w14:paraId="61ABEE46">
            <w:pPr>
              <w:widowControl/>
              <w:snapToGrid w:val="0"/>
              <w:jc w:val="center"/>
              <w:rPr>
                <w:rFonts w:hint="default" w:eastAsia="宋体"/>
                <w:kern w:val="0"/>
                <w:sz w:val="24"/>
                <w:lang w:val="en-US" w:eastAsia="zh-CN"/>
              </w:rPr>
            </w:pPr>
            <w:r>
              <w:rPr>
                <w:rFonts w:hint="eastAsia" w:eastAsia="宋体"/>
                <w:kern w:val="0"/>
                <w:sz w:val="24"/>
                <w:lang w:val="en-US" w:eastAsia="zh-CN"/>
              </w:rPr>
              <w:t>28</w:t>
            </w:r>
          </w:p>
        </w:tc>
        <w:tc>
          <w:tcPr>
            <w:tcW w:w="391" w:type="pct"/>
            <w:shd w:val="clear" w:color="000000" w:fill="FABF8F"/>
            <w:vAlign w:val="center"/>
          </w:tcPr>
          <w:p w14:paraId="1BE0E938">
            <w:pPr>
              <w:widowControl/>
              <w:snapToGrid w:val="0"/>
              <w:jc w:val="center"/>
              <w:rPr>
                <w:rFonts w:hint="default" w:eastAsia="宋体"/>
                <w:kern w:val="0"/>
                <w:sz w:val="24"/>
                <w:lang w:val="en-US" w:eastAsia="zh-CN"/>
              </w:rPr>
            </w:pPr>
            <w:r>
              <w:rPr>
                <w:rFonts w:hint="eastAsia" w:eastAsia="宋体"/>
                <w:kern w:val="0"/>
                <w:sz w:val="24"/>
                <w:lang w:val="en-US" w:eastAsia="zh-CN"/>
              </w:rPr>
              <w:t>65</w:t>
            </w:r>
          </w:p>
        </w:tc>
        <w:tc>
          <w:tcPr>
            <w:tcW w:w="548" w:type="pct"/>
            <w:shd w:val="clear" w:color="000000" w:fill="FABF8F"/>
            <w:vAlign w:val="center"/>
          </w:tcPr>
          <w:p w14:paraId="1E5FD181">
            <w:pPr>
              <w:widowControl/>
              <w:snapToGrid w:val="0"/>
              <w:jc w:val="center"/>
              <w:rPr>
                <w:rFonts w:hint="default" w:eastAsia="宋体"/>
                <w:kern w:val="0"/>
                <w:sz w:val="24"/>
                <w:lang w:val="en-US" w:eastAsia="zh-CN"/>
              </w:rPr>
            </w:pPr>
            <w:r>
              <w:rPr>
                <w:rFonts w:hint="eastAsia" w:eastAsia="宋体"/>
                <w:kern w:val="0"/>
                <w:sz w:val="24"/>
                <w:lang w:val="en-US" w:eastAsia="zh-CN"/>
              </w:rPr>
              <w:t>15</w:t>
            </w:r>
          </w:p>
        </w:tc>
        <w:tc>
          <w:tcPr>
            <w:tcW w:w="391" w:type="pct"/>
            <w:shd w:val="clear" w:color="000000" w:fill="FABF8F"/>
            <w:vAlign w:val="center"/>
          </w:tcPr>
          <w:p w14:paraId="5CF4F244">
            <w:pPr>
              <w:widowControl/>
              <w:snapToGrid w:val="0"/>
              <w:jc w:val="center"/>
              <w:rPr>
                <w:rFonts w:hint="eastAsia" w:eastAsia="宋体"/>
                <w:kern w:val="0"/>
                <w:sz w:val="24"/>
                <w:lang w:val="en-US" w:eastAsia="zh-CN"/>
              </w:rPr>
            </w:pPr>
            <w:r>
              <w:rPr>
                <w:rFonts w:hint="eastAsia" w:eastAsia="宋体"/>
                <w:kern w:val="0"/>
                <w:sz w:val="24"/>
                <w:lang w:val="en-US" w:eastAsia="zh-CN"/>
              </w:rPr>
              <w:t>3</w:t>
            </w:r>
          </w:p>
        </w:tc>
        <w:tc>
          <w:tcPr>
            <w:tcW w:w="469" w:type="pct"/>
            <w:shd w:val="clear" w:color="000000" w:fill="FABF8F"/>
            <w:vAlign w:val="center"/>
          </w:tcPr>
          <w:p w14:paraId="3BFF0195">
            <w:pPr>
              <w:widowControl/>
              <w:snapToGrid w:val="0"/>
              <w:jc w:val="center"/>
              <w:rPr>
                <w:rFonts w:hint="default" w:eastAsia="宋体"/>
                <w:kern w:val="0"/>
                <w:sz w:val="24"/>
                <w:lang w:val="en-US" w:eastAsia="zh-CN"/>
              </w:rPr>
            </w:pPr>
            <w:r>
              <w:rPr>
                <w:rFonts w:hint="eastAsia" w:eastAsia="宋体"/>
                <w:kern w:val="0"/>
                <w:sz w:val="24"/>
                <w:lang w:val="en-US" w:eastAsia="zh-CN"/>
              </w:rPr>
              <w:t>12</w:t>
            </w:r>
          </w:p>
        </w:tc>
        <w:tc>
          <w:tcPr>
            <w:tcW w:w="387" w:type="pct"/>
            <w:shd w:val="clear" w:color="000000" w:fill="FABF8F"/>
            <w:vAlign w:val="center"/>
          </w:tcPr>
          <w:p w14:paraId="40EC73AA">
            <w:pPr>
              <w:widowControl/>
              <w:snapToGrid w:val="0"/>
              <w:jc w:val="center"/>
              <w:rPr>
                <w:rFonts w:hint="default" w:eastAsia="宋体"/>
                <w:kern w:val="0"/>
                <w:sz w:val="24"/>
                <w:lang w:val="en-US" w:eastAsia="zh-CN"/>
              </w:rPr>
            </w:pPr>
            <w:r>
              <w:rPr>
                <w:rFonts w:hint="eastAsia" w:eastAsia="宋体"/>
                <w:kern w:val="0"/>
                <w:sz w:val="24"/>
                <w:lang w:val="en-US" w:eastAsia="zh-CN"/>
              </w:rPr>
              <w:t>30</w:t>
            </w:r>
          </w:p>
        </w:tc>
      </w:tr>
      <w:tr w14:paraId="3302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vMerge w:val="continue"/>
            <w:vAlign w:val="center"/>
          </w:tcPr>
          <w:p w14:paraId="01A41D9A">
            <w:pPr>
              <w:widowControl/>
              <w:snapToGrid w:val="0"/>
              <w:jc w:val="left"/>
              <w:rPr>
                <w:rFonts w:eastAsia="宋体"/>
                <w:kern w:val="0"/>
                <w:sz w:val="20"/>
                <w:szCs w:val="20"/>
              </w:rPr>
            </w:pPr>
          </w:p>
        </w:tc>
        <w:tc>
          <w:tcPr>
            <w:tcW w:w="341" w:type="pct"/>
            <w:shd w:val="clear" w:color="000000" w:fill="FABF8F"/>
            <w:vAlign w:val="center"/>
          </w:tcPr>
          <w:p w14:paraId="10104363">
            <w:pPr>
              <w:widowControl/>
              <w:snapToGrid w:val="0"/>
              <w:jc w:val="center"/>
              <w:rPr>
                <w:rFonts w:eastAsia="宋体"/>
                <w:kern w:val="0"/>
                <w:sz w:val="20"/>
                <w:szCs w:val="20"/>
              </w:rPr>
            </w:pPr>
            <w:r>
              <w:rPr>
                <w:rFonts w:hint="eastAsia" w:ascii="宋体" w:hAnsi="宋体" w:eastAsia="宋体"/>
                <w:kern w:val="0"/>
                <w:sz w:val="20"/>
                <w:szCs w:val="20"/>
              </w:rPr>
              <w:t>信息</w:t>
            </w:r>
          </w:p>
        </w:tc>
        <w:tc>
          <w:tcPr>
            <w:tcW w:w="452" w:type="pct"/>
            <w:shd w:val="clear" w:color="000000" w:fill="FABF8F"/>
            <w:noWrap/>
            <w:vAlign w:val="center"/>
          </w:tcPr>
          <w:p w14:paraId="5AF5E769">
            <w:pPr>
              <w:widowControl/>
              <w:snapToGrid w:val="0"/>
              <w:jc w:val="center"/>
              <w:rPr>
                <w:rFonts w:eastAsia="宋体"/>
                <w:kern w:val="0"/>
                <w:sz w:val="24"/>
              </w:rPr>
            </w:pPr>
            <w:r>
              <w:rPr>
                <w:rFonts w:eastAsia="宋体"/>
                <w:kern w:val="0"/>
                <w:sz w:val="24"/>
              </w:rPr>
              <w:t>30</w:t>
            </w:r>
          </w:p>
        </w:tc>
        <w:tc>
          <w:tcPr>
            <w:tcW w:w="504" w:type="pct"/>
            <w:shd w:val="clear" w:color="000000" w:fill="FABF8F"/>
            <w:vAlign w:val="center"/>
          </w:tcPr>
          <w:p w14:paraId="26BB8033">
            <w:pPr>
              <w:widowControl/>
              <w:snapToGrid w:val="0"/>
              <w:jc w:val="center"/>
              <w:rPr>
                <w:rFonts w:hint="default" w:eastAsia="宋体"/>
                <w:kern w:val="0"/>
                <w:sz w:val="24"/>
                <w:lang w:val="en-US" w:eastAsia="zh-CN"/>
              </w:rPr>
            </w:pPr>
            <w:r>
              <w:rPr>
                <w:rFonts w:hint="eastAsia" w:eastAsia="宋体"/>
                <w:kern w:val="0"/>
                <w:sz w:val="24"/>
                <w:lang w:val="en-US" w:eastAsia="zh-CN"/>
              </w:rPr>
              <w:t>10</w:t>
            </w:r>
          </w:p>
        </w:tc>
        <w:tc>
          <w:tcPr>
            <w:tcW w:w="391" w:type="pct"/>
            <w:shd w:val="clear" w:color="000000" w:fill="FABF8F"/>
            <w:vAlign w:val="center"/>
          </w:tcPr>
          <w:p w14:paraId="0231E69E">
            <w:pPr>
              <w:widowControl/>
              <w:snapToGrid w:val="0"/>
              <w:jc w:val="center"/>
              <w:rPr>
                <w:rFonts w:hint="eastAsia" w:eastAsia="宋体"/>
                <w:kern w:val="0"/>
                <w:sz w:val="24"/>
                <w:lang w:val="en-US" w:eastAsia="zh-CN"/>
              </w:rPr>
            </w:pPr>
            <w:r>
              <w:rPr>
                <w:rFonts w:hint="eastAsia" w:eastAsia="宋体"/>
                <w:kern w:val="0"/>
                <w:sz w:val="24"/>
                <w:lang w:val="en-US" w:eastAsia="zh-CN"/>
              </w:rPr>
              <w:t>1</w:t>
            </w:r>
          </w:p>
        </w:tc>
        <w:tc>
          <w:tcPr>
            <w:tcW w:w="470" w:type="pct"/>
            <w:shd w:val="clear" w:color="000000" w:fill="FABF8F"/>
            <w:vAlign w:val="center"/>
          </w:tcPr>
          <w:p w14:paraId="4F68F6D1">
            <w:pPr>
              <w:widowControl/>
              <w:snapToGrid w:val="0"/>
              <w:jc w:val="center"/>
              <w:rPr>
                <w:rFonts w:hint="eastAsia" w:eastAsia="宋体"/>
                <w:kern w:val="0"/>
                <w:sz w:val="24"/>
                <w:lang w:val="en-US" w:eastAsia="zh-CN"/>
              </w:rPr>
            </w:pPr>
            <w:r>
              <w:rPr>
                <w:rFonts w:hint="eastAsia" w:eastAsia="宋体"/>
                <w:kern w:val="0"/>
                <w:sz w:val="24"/>
                <w:lang w:val="en-US" w:eastAsia="zh-CN"/>
              </w:rPr>
              <w:t>8</w:t>
            </w:r>
          </w:p>
        </w:tc>
        <w:tc>
          <w:tcPr>
            <w:tcW w:w="391" w:type="pct"/>
            <w:shd w:val="clear" w:color="000000" w:fill="FABF8F"/>
            <w:noWrap/>
            <w:vAlign w:val="center"/>
          </w:tcPr>
          <w:p w14:paraId="08D18B58">
            <w:pPr>
              <w:widowControl/>
              <w:snapToGrid w:val="0"/>
              <w:jc w:val="center"/>
              <w:rPr>
                <w:rFonts w:hint="default" w:eastAsia="宋体"/>
                <w:kern w:val="0"/>
                <w:sz w:val="24"/>
                <w:lang w:val="en-US" w:eastAsia="zh-CN"/>
              </w:rPr>
            </w:pPr>
            <w:r>
              <w:rPr>
                <w:rFonts w:hint="eastAsia" w:eastAsia="宋体"/>
                <w:kern w:val="0"/>
                <w:sz w:val="24"/>
                <w:lang w:val="en-US" w:eastAsia="zh-CN"/>
              </w:rPr>
              <w:t>19</w:t>
            </w:r>
          </w:p>
        </w:tc>
        <w:tc>
          <w:tcPr>
            <w:tcW w:w="548" w:type="pct"/>
            <w:shd w:val="clear" w:color="000000" w:fill="FABF8F"/>
            <w:vAlign w:val="center"/>
          </w:tcPr>
          <w:p w14:paraId="69DB6A29">
            <w:pPr>
              <w:widowControl/>
              <w:snapToGrid w:val="0"/>
              <w:jc w:val="center"/>
              <w:rPr>
                <w:rFonts w:hint="eastAsia" w:eastAsia="宋体"/>
                <w:kern w:val="0"/>
                <w:sz w:val="24"/>
                <w:lang w:val="en-US" w:eastAsia="zh-CN"/>
              </w:rPr>
            </w:pPr>
            <w:r>
              <w:rPr>
                <w:rFonts w:hint="eastAsia" w:eastAsia="宋体"/>
                <w:kern w:val="0"/>
                <w:sz w:val="24"/>
                <w:lang w:val="en-US" w:eastAsia="zh-CN"/>
              </w:rPr>
              <w:t>5</w:t>
            </w:r>
          </w:p>
        </w:tc>
        <w:tc>
          <w:tcPr>
            <w:tcW w:w="391" w:type="pct"/>
            <w:shd w:val="clear" w:color="000000" w:fill="FABF8F"/>
            <w:vAlign w:val="center"/>
          </w:tcPr>
          <w:p w14:paraId="218493C4">
            <w:pPr>
              <w:widowControl/>
              <w:snapToGrid w:val="0"/>
              <w:jc w:val="center"/>
              <w:rPr>
                <w:rFonts w:hint="eastAsia" w:eastAsia="宋体"/>
                <w:kern w:val="0"/>
                <w:sz w:val="24"/>
                <w:lang w:val="en-US" w:eastAsia="zh-CN"/>
              </w:rPr>
            </w:pPr>
            <w:r>
              <w:rPr>
                <w:rFonts w:hint="eastAsia" w:eastAsia="宋体"/>
                <w:kern w:val="0"/>
                <w:sz w:val="24"/>
                <w:lang w:val="en-US" w:eastAsia="zh-CN"/>
              </w:rPr>
              <w:t>1</w:t>
            </w:r>
          </w:p>
        </w:tc>
        <w:tc>
          <w:tcPr>
            <w:tcW w:w="469" w:type="pct"/>
            <w:shd w:val="clear" w:color="000000" w:fill="FABF8F"/>
            <w:vAlign w:val="center"/>
          </w:tcPr>
          <w:p w14:paraId="76259D1E">
            <w:pPr>
              <w:widowControl/>
              <w:snapToGrid w:val="0"/>
              <w:jc w:val="center"/>
              <w:rPr>
                <w:rFonts w:hint="default" w:eastAsia="宋体"/>
                <w:kern w:val="0"/>
                <w:sz w:val="24"/>
                <w:lang w:val="en-US" w:eastAsia="zh-CN"/>
              </w:rPr>
            </w:pPr>
            <w:r>
              <w:rPr>
                <w:rFonts w:hint="eastAsia" w:eastAsia="宋体"/>
                <w:kern w:val="0"/>
                <w:sz w:val="24"/>
                <w:lang w:val="en-US" w:eastAsia="zh-CN"/>
              </w:rPr>
              <w:t>5</w:t>
            </w:r>
          </w:p>
        </w:tc>
        <w:tc>
          <w:tcPr>
            <w:tcW w:w="387" w:type="pct"/>
            <w:shd w:val="clear" w:color="000000" w:fill="FABF8F"/>
            <w:noWrap/>
            <w:vAlign w:val="center"/>
          </w:tcPr>
          <w:p w14:paraId="1C097CB7">
            <w:pPr>
              <w:widowControl/>
              <w:snapToGrid w:val="0"/>
              <w:jc w:val="center"/>
              <w:rPr>
                <w:rFonts w:hint="default" w:eastAsia="宋体"/>
                <w:kern w:val="0"/>
                <w:sz w:val="24"/>
                <w:lang w:val="en-US" w:eastAsia="zh-CN"/>
              </w:rPr>
            </w:pPr>
            <w:r>
              <w:rPr>
                <w:rFonts w:hint="eastAsia" w:eastAsia="宋体"/>
                <w:kern w:val="0"/>
                <w:sz w:val="24"/>
                <w:lang w:val="en-US" w:eastAsia="zh-CN"/>
              </w:rPr>
              <w:t>11</w:t>
            </w:r>
          </w:p>
        </w:tc>
      </w:tr>
      <w:tr w14:paraId="7F4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57" w:type="pct"/>
            <w:shd w:val="clear" w:color="000000" w:fill="FABF8F"/>
            <w:vAlign w:val="center"/>
          </w:tcPr>
          <w:p w14:paraId="76659BC6">
            <w:pPr>
              <w:widowControl/>
              <w:snapToGrid w:val="0"/>
              <w:jc w:val="center"/>
              <w:rPr>
                <w:rFonts w:eastAsia="宋体"/>
                <w:kern w:val="0"/>
                <w:sz w:val="20"/>
                <w:szCs w:val="20"/>
              </w:rPr>
            </w:pPr>
            <w:r>
              <w:rPr>
                <w:rFonts w:hint="eastAsia" w:ascii="宋体" w:hAnsi="宋体" w:eastAsia="宋体"/>
                <w:kern w:val="0"/>
                <w:sz w:val="20"/>
                <w:szCs w:val="20"/>
              </w:rPr>
              <w:t>合计</w:t>
            </w:r>
          </w:p>
        </w:tc>
        <w:tc>
          <w:tcPr>
            <w:tcW w:w="341" w:type="pct"/>
            <w:shd w:val="clear" w:color="000000" w:fill="FABF8F"/>
            <w:vAlign w:val="center"/>
          </w:tcPr>
          <w:p w14:paraId="3315FF2E">
            <w:pPr>
              <w:widowControl/>
              <w:snapToGrid w:val="0"/>
              <w:jc w:val="center"/>
              <w:rPr>
                <w:rFonts w:eastAsia="宋体"/>
                <w:kern w:val="0"/>
                <w:sz w:val="20"/>
                <w:szCs w:val="20"/>
              </w:rPr>
            </w:pPr>
            <w:r>
              <w:rPr>
                <w:rFonts w:eastAsia="宋体"/>
                <w:kern w:val="0"/>
                <w:sz w:val="20"/>
                <w:szCs w:val="20"/>
              </w:rPr>
              <w:t>　</w:t>
            </w:r>
          </w:p>
        </w:tc>
        <w:tc>
          <w:tcPr>
            <w:tcW w:w="452" w:type="pct"/>
            <w:shd w:val="clear" w:color="000000" w:fill="FABF8F"/>
            <w:vAlign w:val="center"/>
          </w:tcPr>
          <w:p w14:paraId="6DEB521D">
            <w:pPr>
              <w:widowControl/>
              <w:snapToGrid w:val="0"/>
              <w:jc w:val="center"/>
              <w:rPr>
                <w:rFonts w:eastAsia="宋体"/>
                <w:kern w:val="0"/>
                <w:sz w:val="24"/>
              </w:rPr>
            </w:pPr>
            <w:r>
              <w:rPr>
                <w:rFonts w:eastAsia="宋体"/>
                <w:kern w:val="0"/>
                <w:sz w:val="24"/>
              </w:rPr>
              <w:t>125</w:t>
            </w:r>
          </w:p>
        </w:tc>
        <w:tc>
          <w:tcPr>
            <w:tcW w:w="504" w:type="pct"/>
            <w:shd w:val="clear" w:color="000000" w:fill="FABF8F"/>
            <w:vAlign w:val="center"/>
          </w:tcPr>
          <w:p w14:paraId="77BA0A88">
            <w:pPr>
              <w:widowControl/>
              <w:snapToGrid w:val="0"/>
              <w:jc w:val="center"/>
              <w:rPr>
                <w:rFonts w:hint="default" w:eastAsia="宋体"/>
                <w:kern w:val="0"/>
                <w:sz w:val="24"/>
                <w:lang w:val="en-US" w:eastAsia="zh-CN"/>
              </w:rPr>
            </w:pPr>
            <w:r>
              <w:rPr>
                <w:rFonts w:hint="eastAsia" w:eastAsia="宋体"/>
                <w:kern w:val="0"/>
                <w:sz w:val="24"/>
                <w:lang w:val="en-US" w:eastAsia="zh-CN"/>
              </w:rPr>
              <w:t>42</w:t>
            </w:r>
          </w:p>
        </w:tc>
        <w:tc>
          <w:tcPr>
            <w:tcW w:w="391" w:type="pct"/>
            <w:shd w:val="clear" w:color="000000" w:fill="FABF8F"/>
            <w:vAlign w:val="center"/>
          </w:tcPr>
          <w:p w14:paraId="3733081B">
            <w:pPr>
              <w:widowControl/>
              <w:snapToGrid w:val="0"/>
              <w:jc w:val="center"/>
              <w:rPr>
                <w:rFonts w:hint="eastAsia" w:eastAsia="宋体"/>
                <w:kern w:val="0"/>
                <w:sz w:val="24"/>
                <w:lang w:val="en-US" w:eastAsia="zh-CN"/>
              </w:rPr>
            </w:pPr>
            <w:r>
              <w:rPr>
                <w:rFonts w:hint="eastAsia" w:eastAsia="宋体"/>
                <w:kern w:val="0"/>
                <w:sz w:val="24"/>
                <w:lang w:val="en-US" w:eastAsia="zh-CN"/>
              </w:rPr>
              <w:t>6</w:t>
            </w:r>
          </w:p>
        </w:tc>
        <w:tc>
          <w:tcPr>
            <w:tcW w:w="470" w:type="pct"/>
            <w:shd w:val="clear" w:color="000000" w:fill="FABF8F"/>
            <w:vAlign w:val="center"/>
          </w:tcPr>
          <w:p w14:paraId="3BCAC1A9">
            <w:pPr>
              <w:widowControl/>
              <w:snapToGrid w:val="0"/>
              <w:jc w:val="center"/>
              <w:rPr>
                <w:rFonts w:hint="default" w:eastAsia="宋体"/>
                <w:kern w:val="0"/>
                <w:sz w:val="24"/>
                <w:lang w:val="en-US" w:eastAsia="zh-CN"/>
              </w:rPr>
            </w:pPr>
            <w:r>
              <w:rPr>
                <w:rFonts w:hint="eastAsia" w:eastAsia="宋体"/>
                <w:kern w:val="0"/>
                <w:sz w:val="24"/>
                <w:lang w:val="en-US" w:eastAsia="zh-CN"/>
              </w:rPr>
              <w:t>36</w:t>
            </w:r>
          </w:p>
        </w:tc>
        <w:tc>
          <w:tcPr>
            <w:tcW w:w="391" w:type="pct"/>
            <w:shd w:val="clear" w:color="000000" w:fill="FABF8F"/>
            <w:vAlign w:val="center"/>
          </w:tcPr>
          <w:p w14:paraId="6C743FAB">
            <w:pPr>
              <w:widowControl/>
              <w:snapToGrid w:val="0"/>
              <w:jc w:val="center"/>
              <w:rPr>
                <w:rFonts w:hint="default" w:eastAsia="宋体"/>
                <w:kern w:val="0"/>
                <w:sz w:val="24"/>
                <w:lang w:val="en-US" w:eastAsia="zh-CN"/>
              </w:rPr>
            </w:pPr>
            <w:r>
              <w:rPr>
                <w:rFonts w:hint="eastAsia" w:eastAsia="宋体"/>
                <w:kern w:val="0"/>
                <w:sz w:val="24"/>
                <w:lang w:val="en-US" w:eastAsia="zh-CN"/>
              </w:rPr>
              <w:t>84</w:t>
            </w:r>
          </w:p>
        </w:tc>
        <w:tc>
          <w:tcPr>
            <w:tcW w:w="548" w:type="pct"/>
            <w:shd w:val="clear" w:color="000000" w:fill="FABF8F"/>
            <w:vAlign w:val="center"/>
          </w:tcPr>
          <w:p w14:paraId="42BB63B4">
            <w:pPr>
              <w:widowControl/>
              <w:snapToGrid w:val="0"/>
              <w:jc w:val="center"/>
              <w:rPr>
                <w:rFonts w:hint="default" w:eastAsia="宋体"/>
                <w:kern w:val="0"/>
                <w:sz w:val="24"/>
                <w:lang w:val="en-US" w:eastAsia="zh-CN"/>
              </w:rPr>
            </w:pPr>
            <w:r>
              <w:rPr>
                <w:rFonts w:hint="eastAsia" w:eastAsia="宋体"/>
                <w:kern w:val="0"/>
                <w:sz w:val="24"/>
                <w:lang w:val="en-US" w:eastAsia="zh-CN"/>
              </w:rPr>
              <w:t>20</w:t>
            </w:r>
          </w:p>
        </w:tc>
        <w:tc>
          <w:tcPr>
            <w:tcW w:w="391" w:type="pct"/>
            <w:shd w:val="clear" w:color="000000" w:fill="FABF8F"/>
            <w:vAlign w:val="center"/>
          </w:tcPr>
          <w:p w14:paraId="29ECCF7A">
            <w:pPr>
              <w:widowControl/>
              <w:snapToGrid w:val="0"/>
              <w:jc w:val="center"/>
              <w:rPr>
                <w:rFonts w:hint="eastAsia" w:eastAsia="宋体"/>
                <w:kern w:val="0"/>
                <w:sz w:val="24"/>
                <w:lang w:val="en-US" w:eastAsia="zh-CN"/>
              </w:rPr>
            </w:pPr>
            <w:r>
              <w:rPr>
                <w:rFonts w:hint="eastAsia" w:eastAsia="宋体"/>
                <w:kern w:val="0"/>
                <w:sz w:val="24"/>
                <w:lang w:val="en-US" w:eastAsia="zh-CN"/>
              </w:rPr>
              <w:t>4</w:t>
            </w:r>
          </w:p>
        </w:tc>
        <w:tc>
          <w:tcPr>
            <w:tcW w:w="469" w:type="pct"/>
            <w:shd w:val="clear" w:color="000000" w:fill="FABF8F"/>
            <w:vAlign w:val="center"/>
          </w:tcPr>
          <w:p w14:paraId="7CE0420D">
            <w:pPr>
              <w:widowControl/>
              <w:snapToGrid w:val="0"/>
              <w:jc w:val="center"/>
              <w:rPr>
                <w:rFonts w:hint="default" w:eastAsia="宋体"/>
                <w:kern w:val="0"/>
                <w:sz w:val="24"/>
                <w:lang w:val="en-US" w:eastAsia="zh-CN"/>
              </w:rPr>
            </w:pPr>
            <w:r>
              <w:rPr>
                <w:rFonts w:hint="eastAsia" w:eastAsia="宋体"/>
                <w:kern w:val="0"/>
                <w:sz w:val="24"/>
                <w:lang w:val="en-US" w:eastAsia="zh-CN"/>
              </w:rPr>
              <w:t>17</w:t>
            </w:r>
          </w:p>
        </w:tc>
        <w:tc>
          <w:tcPr>
            <w:tcW w:w="387" w:type="pct"/>
            <w:shd w:val="clear" w:color="000000" w:fill="FABF8F"/>
            <w:vAlign w:val="center"/>
          </w:tcPr>
          <w:p w14:paraId="4252D88B">
            <w:pPr>
              <w:widowControl/>
              <w:snapToGrid w:val="0"/>
              <w:jc w:val="center"/>
              <w:rPr>
                <w:rFonts w:hint="default" w:eastAsia="宋体"/>
                <w:kern w:val="0"/>
                <w:sz w:val="24"/>
                <w:lang w:val="en-US" w:eastAsia="zh-CN"/>
              </w:rPr>
            </w:pPr>
            <w:r>
              <w:rPr>
                <w:rFonts w:hint="eastAsia" w:eastAsia="宋体"/>
                <w:kern w:val="0"/>
                <w:sz w:val="24"/>
                <w:lang w:val="en-US" w:eastAsia="zh-CN"/>
              </w:rPr>
              <w:t>41</w:t>
            </w:r>
          </w:p>
        </w:tc>
      </w:tr>
    </w:tbl>
    <w:p w14:paraId="4547EE7B">
      <w:pPr>
        <w:adjustRightInd w:val="0"/>
        <w:snapToGrid w:val="0"/>
        <w:spacing w:line="360" w:lineRule="auto"/>
        <w:outlineLvl w:val="0"/>
        <w:rPr>
          <w:sz w:val="28"/>
          <w:szCs w:val="28"/>
        </w:rPr>
      </w:pPr>
    </w:p>
    <w:p w14:paraId="7F1FF3B3">
      <w:pPr>
        <w:adjustRightInd w:val="0"/>
        <w:snapToGrid w:val="0"/>
        <w:spacing w:line="360" w:lineRule="auto"/>
        <w:outlineLvl w:val="0"/>
        <w:rPr>
          <w:b/>
          <w:bCs/>
          <w:sz w:val="28"/>
          <w:szCs w:val="28"/>
        </w:rPr>
      </w:pPr>
      <w:r>
        <w:rPr>
          <w:rFonts w:hint="eastAsia"/>
          <w:b/>
          <w:bCs/>
          <w:sz w:val="28"/>
          <w:szCs w:val="28"/>
        </w:rPr>
        <w:t>六</w:t>
      </w:r>
      <w:r>
        <w:rPr>
          <w:b/>
          <w:bCs/>
          <w:sz w:val="28"/>
          <w:szCs w:val="28"/>
        </w:rPr>
        <w:t>、专业确认</w:t>
      </w:r>
      <w:r>
        <w:rPr>
          <w:rFonts w:hint="eastAsia"/>
          <w:b/>
          <w:bCs/>
          <w:sz w:val="28"/>
          <w:szCs w:val="28"/>
        </w:rPr>
        <w:t>组织实施</w:t>
      </w:r>
    </w:p>
    <w:p w14:paraId="42ECA56E">
      <w:pPr>
        <w:adjustRightInd w:val="0"/>
        <w:snapToGrid w:val="0"/>
        <w:spacing w:line="360" w:lineRule="auto"/>
        <w:ind w:firstLine="560" w:firstLineChars="200"/>
        <w:outlineLvl w:val="0"/>
        <w:rPr>
          <w:sz w:val="28"/>
          <w:szCs w:val="28"/>
        </w:rPr>
      </w:pPr>
      <w:r>
        <w:rPr>
          <w:sz w:val="28"/>
          <w:szCs w:val="28"/>
        </w:rPr>
        <w:t>1.各专业负责组织专业咨询会，学生工作办公室配合做好专业分流的宣传和组织工作。</w:t>
      </w:r>
    </w:p>
    <w:p w14:paraId="0B9347B4">
      <w:pPr>
        <w:adjustRightInd w:val="0"/>
        <w:snapToGrid w:val="0"/>
        <w:spacing w:line="360" w:lineRule="auto"/>
        <w:ind w:firstLine="560" w:firstLineChars="200"/>
        <w:rPr>
          <w:sz w:val="28"/>
          <w:szCs w:val="28"/>
        </w:rPr>
      </w:pPr>
      <w:r>
        <w:rPr>
          <w:sz w:val="28"/>
          <w:szCs w:val="28"/>
        </w:rPr>
        <w:t>2. 各专业成立工作小组，负责导师申报、资格审核和公示，以及本专业介绍和班主任配备等工作。</w:t>
      </w:r>
    </w:p>
    <w:p w14:paraId="2C327698">
      <w:pPr>
        <w:adjustRightInd w:val="0"/>
        <w:snapToGrid w:val="0"/>
        <w:spacing w:line="360" w:lineRule="auto"/>
        <w:ind w:firstLine="560" w:firstLineChars="200"/>
        <w:rPr>
          <w:sz w:val="28"/>
          <w:szCs w:val="28"/>
        </w:rPr>
      </w:pPr>
      <w:r>
        <w:rPr>
          <w:sz w:val="28"/>
          <w:szCs w:val="28"/>
        </w:rPr>
        <w:t>3. 志愿录取工作由机械工程系、研究所和学生工作办公室共同组织。</w:t>
      </w:r>
    </w:p>
    <w:p w14:paraId="1A976908">
      <w:pPr>
        <w:adjustRightInd w:val="0"/>
        <w:snapToGrid w:val="0"/>
        <w:spacing w:line="360" w:lineRule="auto"/>
        <w:ind w:firstLine="560" w:firstLineChars="200"/>
        <w:rPr>
          <w:sz w:val="28"/>
          <w:szCs w:val="28"/>
        </w:rPr>
      </w:pPr>
      <w:r>
        <w:rPr>
          <w:rFonts w:hint="eastAsia"/>
          <w:sz w:val="28"/>
          <w:szCs w:val="28"/>
        </w:rPr>
        <w:t>4. 学院公示浙江省普通高考总分位次号、类内高考成绩和课程成绩等。</w:t>
      </w:r>
    </w:p>
    <w:p w14:paraId="07D5180F">
      <w:pPr>
        <w:adjustRightInd w:val="0"/>
        <w:snapToGrid w:val="0"/>
        <w:spacing w:line="360" w:lineRule="auto"/>
        <w:ind w:firstLine="560" w:firstLineChars="200"/>
        <w:rPr>
          <w:color w:val="000000"/>
          <w:sz w:val="28"/>
          <w:szCs w:val="28"/>
        </w:rPr>
      </w:pPr>
      <w:r>
        <w:rPr>
          <w:rFonts w:hint="eastAsia"/>
          <w:color w:val="000000"/>
          <w:sz w:val="28"/>
          <w:szCs w:val="28"/>
        </w:rPr>
        <w:t>5. 学院公示各批次确认录取结果，并在</w:t>
      </w:r>
      <w:r>
        <w:rPr>
          <w:color w:val="000000"/>
          <w:sz w:val="28"/>
          <w:szCs w:val="28"/>
        </w:rPr>
        <w:t>本科第一学年第一学期</w:t>
      </w:r>
      <w:r>
        <w:rPr>
          <w:sz w:val="28"/>
          <w:szCs w:val="28"/>
        </w:rPr>
        <w:t>第15周</w:t>
      </w:r>
      <w:r>
        <w:rPr>
          <w:color w:val="000000"/>
          <w:sz w:val="28"/>
          <w:szCs w:val="28"/>
        </w:rPr>
        <w:t>前完成</w:t>
      </w:r>
      <w:r>
        <w:rPr>
          <w:rFonts w:hint="eastAsia"/>
          <w:color w:val="000000"/>
          <w:sz w:val="28"/>
          <w:szCs w:val="28"/>
        </w:rPr>
        <w:t>全部学生专业确认</w:t>
      </w:r>
      <w:r>
        <w:rPr>
          <w:color w:val="000000"/>
          <w:sz w:val="28"/>
          <w:szCs w:val="28"/>
        </w:rPr>
        <w:t>。</w:t>
      </w:r>
    </w:p>
    <w:p w14:paraId="2214A295">
      <w:pPr>
        <w:adjustRightInd w:val="0"/>
        <w:snapToGrid w:val="0"/>
        <w:spacing w:line="360" w:lineRule="auto"/>
        <w:ind w:firstLine="560" w:firstLineChars="200"/>
        <w:rPr>
          <w:color w:val="000000"/>
          <w:sz w:val="28"/>
          <w:szCs w:val="28"/>
        </w:rPr>
      </w:pPr>
      <w:r>
        <w:rPr>
          <w:rFonts w:hint="eastAsia"/>
          <w:color w:val="000000"/>
          <w:sz w:val="28"/>
          <w:szCs w:val="28"/>
        </w:rPr>
        <w:t>6．未在规定时间内按规定填写及提交专业确认申请表的学生，视为主动放弃专业确认选择权，由学院负责调配。</w:t>
      </w:r>
    </w:p>
    <w:p w14:paraId="472A8B09">
      <w:pPr>
        <w:adjustRightInd w:val="0"/>
        <w:snapToGrid w:val="0"/>
        <w:spacing w:line="360" w:lineRule="auto"/>
        <w:outlineLvl w:val="0"/>
        <w:rPr>
          <w:b/>
          <w:bCs/>
          <w:sz w:val="28"/>
          <w:szCs w:val="28"/>
        </w:rPr>
      </w:pPr>
    </w:p>
    <w:p w14:paraId="5A2784E0">
      <w:pPr>
        <w:adjustRightInd w:val="0"/>
        <w:snapToGrid w:val="0"/>
        <w:spacing w:line="360" w:lineRule="auto"/>
        <w:outlineLvl w:val="0"/>
        <w:rPr>
          <w:b/>
          <w:bCs/>
          <w:sz w:val="28"/>
          <w:szCs w:val="28"/>
        </w:rPr>
      </w:pPr>
      <w:r>
        <w:rPr>
          <w:b/>
          <w:bCs/>
          <w:sz w:val="28"/>
          <w:szCs w:val="28"/>
        </w:rPr>
        <w:t>七、专业确认后的教学与学籍管理</w:t>
      </w:r>
    </w:p>
    <w:p w14:paraId="39215ACB">
      <w:pPr>
        <w:numPr>
          <w:ilvl w:val="0"/>
          <w:numId w:val="1"/>
        </w:numPr>
        <w:adjustRightInd w:val="0"/>
        <w:snapToGrid w:val="0"/>
        <w:spacing w:line="360" w:lineRule="auto"/>
        <w:ind w:firstLine="560" w:firstLineChars="200"/>
        <w:rPr>
          <w:sz w:val="28"/>
          <w:szCs w:val="28"/>
        </w:rPr>
      </w:pPr>
      <w:r>
        <w:rPr>
          <w:sz w:val="28"/>
          <w:szCs w:val="28"/>
        </w:rPr>
        <w:t>各专业专业确认后直接进行本科生导师双向选择，根据导师研究方向确认学生的专业模块方向，并重新编班。</w:t>
      </w:r>
    </w:p>
    <w:p w14:paraId="4FA4FA48">
      <w:pPr>
        <w:numPr>
          <w:ilvl w:val="0"/>
          <w:numId w:val="1"/>
        </w:numPr>
        <w:adjustRightInd w:val="0"/>
        <w:snapToGrid w:val="0"/>
        <w:spacing w:line="360" w:lineRule="auto"/>
        <w:ind w:firstLine="560" w:firstLineChars="200"/>
        <w:rPr>
          <w:sz w:val="28"/>
          <w:szCs w:val="28"/>
        </w:rPr>
      </w:pPr>
      <w:r>
        <w:rPr>
          <w:sz w:val="28"/>
          <w:szCs w:val="28"/>
        </w:rPr>
        <w:t>学生学籍档案材料自第二学期起归入专业班级进行管理，各类评优、评奖、保研等事项按专业或班级进行考核与评定。</w:t>
      </w:r>
    </w:p>
    <w:p w14:paraId="07228283">
      <w:pPr>
        <w:adjustRightInd w:val="0"/>
        <w:snapToGrid w:val="0"/>
        <w:spacing w:line="360" w:lineRule="auto"/>
        <w:ind w:firstLine="560" w:firstLineChars="200"/>
        <w:rPr>
          <w:sz w:val="28"/>
          <w:szCs w:val="28"/>
        </w:rPr>
      </w:pPr>
      <w:r>
        <w:rPr>
          <w:sz w:val="28"/>
          <w:szCs w:val="28"/>
        </w:rPr>
        <w:t>3. 专业确认结果经报学校批准，不得随意变更。</w:t>
      </w:r>
    </w:p>
    <w:p w14:paraId="06721EE5">
      <w:pPr>
        <w:adjustRightInd w:val="0"/>
        <w:snapToGrid w:val="0"/>
        <w:spacing w:line="360" w:lineRule="auto"/>
        <w:ind w:firstLine="560" w:firstLineChars="200"/>
        <w:rPr>
          <w:sz w:val="28"/>
          <w:szCs w:val="28"/>
        </w:rPr>
      </w:pPr>
      <w:r>
        <w:rPr>
          <w:rFonts w:hint="eastAsia"/>
          <w:sz w:val="28"/>
          <w:szCs w:val="28"/>
        </w:rPr>
        <w:t xml:space="preserve">4. </w:t>
      </w:r>
      <w:r>
        <w:rPr>
          <w:sz w:val="28"/>
          <w:szCs w:val="28"/>
        </w:rPr>
        <w:t>健行学院学生以选导师进入专业学习，不受专业名额限制，不受导师指导名额限制。</w:t>
      </w:r>
    </w:p>
    <w:p w14:paraId="6317F647">
      <w:pPr>
        <w:adjustRightInd w:val="0"/>
        <w:snapToGrid w:val="0"/>
        <w:spacing w:line="360" w:lineRule="auto"/>
        <w:ind w:firstLine="560" w:firstLineChars="200"/>
        <w:rPr>
          <w:sz w:val="28"/>
          <w:szCs w:val="28"/>
        </w:rPr>
      </w:pPr>
      <w:r>
        <w:rPr>
          <w:rFonts w:hint="eastAsia"/>
          <w:sz w:val="28"/>
          <w:szCs w:val="28"/>
        </w:rPr>
        <w:t xml:space="preserve">5. </w:t>
      </w:r>
      <w:r>
        <w:rPr>
          <w:sz w:val="28"/>
          <w:szCs w:val="28"/>
        </w:rPr>
        <w:t>专业确认后，校内转专业到我院的学生，由各系根据其意愿进行专业确认并落实指导教师，不受专业招生名额限制。</w:t>
      </w:r>
    </w:p>
    <w:p w14:paraId="553088D4">
      <w:pPr>
        <w:adjustRightInd w:val="0"/>
        <w:snapToGrid w:val="0"/>
        <w:spacing w:before="441" w:beforeLines="100" w:after="220" w:afterLines="50" w:line="360" w:lineRule="auto"/>
        <w:outlineLvl w:val="0"/>
        <w:rPr>
          <w:bCs/>
          <w:sz w:val="28"/>
          <w:szCs w:val="28"/>
        </w:rPr>
      </w:pPr>
      <w:r>
        <w:rPr>
          <w:rFonts w:hint="eastAsia"/>
          <w:bCs/>
          <w:sz w:val="28"/>
          <w:szCs w:val="28"/>
        </w:rPr>
        <w:t>八</w:t>
      </w:r>
      <w:r>
        <w:rPr>
          <w:bCs/>
          <w:sz w:val="28"/>
          <w:szCs w:val="28"/>
        </w:rPr>
        <w:t>、本细则未尽事宜由专业确认工作小组讨论并报学院党政联席会议研究决定。</w:t>
      </w:r>
    </w:p>
    <w:p w14:paraId="41FE1371">
      <w:pPr>
        <w:adjustRightInd w:val="0"/>
        <w:snapToGrid w:val="0"/>
        <w:spacing w:before="441" w:beforeLines="100"/>
        <w:ind w:firstLine="6160" w:firstLineChars="2200"/>
        <w:outlineLvl w:val="0"/>
        <w:rPr>
          <w:bCs/>
          <w:sz w:val="28"/>
          <w:szCs w:val="28"/>
        </w:rPr>
      </w:pPr>
      <w:r>
        <w:rPr>
          <w:bCs/>
          <w:sz w:val="28"/>
          <w:szCs w:val="28"/>
        </w:rPr>
        <w:t>机械工程学院</w:t>
      </w:r>
    </w:p>
    <w:p w14:paraId="4B3CBB81">
      <w:pPr>
        <w:spacing w:before="220" w:beforeLines="50"/>
        <w:ind w:right="842"/>
        <w:jc w:val="right"/>
        <w:outlineLvl w:val="0"/>
        <w:rPr>
          <w:b/>
          <w:sz w:val="28"/>
          <w:szCs w:val="28"/>
        </w:rPr>
      </w:pPr>
      <w:r>
        <w:rPr>
          <w:b/>
          <w:sz w:val="28"/>
          <w:szCs w:val="28"/>
        </w:rPr>
        <w:t>2024年10月15日</w:t>
      </w:r>
    </w:p>
    <w:p w14:paraId="40C37E26">
      <w:pPr>
        <w:spacing w:line="360" w:lineRule="auto"/>
        <w:rPr>
          <w:bCs/>
          <w:color w:val="FF0000"/>
          <w:sz w:val="28"/>
          <w:szCs w:val="28"/>
        </w:rPr>
        <w:sectPr>
          <w:pgSz w:w="11906" w:h="16838"/>
          <w:pgMar w:top="1191" w:right="1417" w:bottom="1191" w:left="1417" w:header="851" w:footer="992" w:gutter="0"/>
          <w:cols w:space="0" w:num="1"/>
          <w:docGrid w:type="lines" w:linePitch="441" w:charSpace="0"/>
        </w:sectPr>
      </w:pPr>
    </w:p>
    <w:p w14:paraId="2A1417F2">
      <w:pPr>
        <w:spacing w:line="360" w:lineRule="auto"/>
        <w:rPr>
          <w:color w:val="FF0000"/>
          <w:sz w:val="28"/>
          <w:szCs w:val="28"/>
        </w:rPr>
      </w:pPr>
      <w:r>
        <w:rPr>
          <w:color w:val="000000"/>
          <w:sz w:val="28"/>
          <w:szCs w:val="28"/>
        </w:rPr>
        <w:t>附件1</w:t>
      </w:r>
    </w:p>
    <w:p w14:paraId="5FE75A7B">
      <w:pPr>
        <w:jc w:val="center"/>
        <w:rPr>
          <w:sz w:val="28"/>
        </w:rPr>
      </w:pPr>
      <w:r>
        <w:rPr>
          <w:sz w:val="36"/>
        </w:rPr>
        <w:t>高考当量成绩计算办法</w:t>
      </w:r>
    </w:p>
    <w:p w14:paraId="0AFBB5F5">
      <w:pPr>
        <w:pStyle w:val="39"/>
        <w:numPr>
          <w:ilvl w:val="0"/>
          <w:numId w:val="2"/>
        </w:numPr>
        <w:ind w:left="0" w:firstLine="0" w:firstLineChars="0"/>
        <w:jc w:val="left"/>
        <w:rPr>
          <w:rFonts w:ascii="Times New Roman" w:hAnsi="Times New Roman" w:eastAsia="仿宋_GB2312"/>
          <w:sz w:val="28"/>
        </w:rPr>
      </w:pPr>
      <w:r>
        <w:rPr>
          <w:rFonts w:hint="eastAsia" w:ascii="Times New Roman" w:hAnsi="Times New Roman" w:eastAsia="仿宋_GB2312"/>
          <w:sz w:val="28"/>
        </w:rPr>
        <w:t>各类生源类学生考虑各省市采用的高考试卷和成绩，按下式计算：</w:t>
      </w:r>
    </w:p>
    <w:p w14:paraId="1C347D61">
      <w:pPr>
        <w:pStyle w:val="39"/>
        <w:ind w:left="360" w:firstLine="0" w:firstLineChars="0"/>
        <w:jc w:val="left"/>
        <w:rPr>
          <w:rFonts w:ascii="Times New Roman" w:hAnsi="Times New Roman" w:eastAsia="仿宋_GB2312"/>
          <w:bCs/>
          <w:i/>
          <w:sz w:val="24"/>
          <w:szCs w:val="24"/>
        </w:rPr>
      </w:pPr>
      <m:oMathPara>
        <m:oMath>
          <m:r>
            <m:rPr>
              <m:sty m:val="p"/>
            </m:rPr>
            <w:rPr>
              <w:rFonts w:ascii="Cambria Math" w:hAnsi="Cambria Math" w:eastAsia="仿宋_GB2312"/>
              <w:sz w:val="24"/>
              <w:szCs w:val="24"/>
            </w:rPr>
            <m:t>高考当量成绩=</m:t>
          </m:r>
          <m:f>
            <m:fPr>
              <m:ctrlPr>
                <w:rPr>
                  <w:rFonts w:ascii="Cambria Math" w:hAnsi="Cambria Math" w:eastAsia="仿宋_GB2312"/>
                  <w:bCs/>
                  <w:sz w:val="24"/>
                  <w:szCs w:val="24"/>
                </w:rPr>
              </m:ctrlPr>
            </m:fPr>
            <m:num>
              <m:r>
                <m:rPr>
                  <m:sty m:val="p"/>
                </m:rPr>
                <w:rPr>
                  <w:rFonts w:ascii="Cambria Math" w:hAnsi="Cambria Math" w:eastAsia="仿宋_GB2312"/>
                  <w:sz w:val="24"/>
                  <w:szCs w:val="24"/>
                </w:rPr>
                <m:t>学生高考成绩</m:t>
              </m:r>
              <m:ctrlPr>
                <w:rPr>
                  <w:rFonts w:ascii="Cambria Math" w:hAnsi="Cambria Math" w:eastAsia="仿宋_GB2312"/>
                  <w:bCs/>
                  <w:sz w:val="24"/>
                  <w:szCs w:val="24"/>
                </w:rPr>
              </m:ctrlPr>
            </m:num>
            <m:den>
              <m:r>
                <m:rPr>
                  <m:sty m:val="p"/>
                </m:rPr>
                <w:rPr>
                  <w:rFonts w:ascii="Cambria Math" w:hAnsi="Cambria Math" w:eastAsia="仿宋_GB2312"/>
                  <w:sz w:val="24"/>
                  <w:szCs w:val="24"/>
                </w:rPr>
                <m:t>该省份录取到大类的学生的高考平均成绩</m:t>
              </m:r>
              <m:ctrlPr>
                <w:rPr>
                  <w:rFonts w:ascii="Cambria Math" w:hAnsi="Cambria Math" w:eastAsia="仿宋_GB2312"/>
                  <w:bCs/>
                  <w:sz w:val="24"/>
                  <w:szCs w:val="24"/>
                </w:rPr>
              </m:ctrlPr>
            </m:den>
          </m:f>
          <m:r>
            <m:rPr/>
            <w:rPr>
              <w:rFonts w:ascii="Cambria Math" w:hAnsi="Cambria Math" w:eastAsia="仿宋_GB2312"/>
              <w:sz w:val="24"/>
              <w:szCs w:val="24"/>
            </w:rPr>
            <m:t>×60+</m:t>
          </m:r>
          <m:f>
            <m:fPr>
              <m:ctrlPr>
                <w:rPr>
                  <w:rFonts w:ascii="Cambria Math" w:hAnsi="Cambria Math" w:eastAsia="仿宋_GB2312"/>
                  <w:bCs/>
                  <w:sz w:val="24"/>
                  <w:szCs w:val="24"/>
                </w:rPr>
              </m:ctrlPr>
            </m:fPr>
            <m:num>
              <m:r>
                <m:rPr>
                  <m:sty m:val="p"/>
                </m:rPr>
                <w:rPr>
                  <w:rFonts w:ascii="Cambria Math" w:hAnsi="Cambria Math" w:eastAsia="仿宋_GB2312"/>
                  <w:sz w:val="24"/>
                  <w:szCs w:val="24"/>
                </w:rPr>
                <m:t>学生高考成绩</m:t>
              </m:r>
              <m:ctrlPr>
                <w:rPr>
                  <w:rFonts w:ascii="Cambria Math" w:hAnsi="Cambria Math" w:eastAsia="仿宋_GB2312"/>
                  <w:bCs/>
                  <w:sz w:val="24"/>
                  <w:szCs w:val="24"/>
                </w:rPr>
              </m:ctrlPr>
            </m:num>
            <m:den>
              <m:r>
                <m:rPr>
                  <m:sty m:val="p"/>
                </m:rPr>
                <w:rPr>
                  <w:rFonts w:ascii="Cambria Math" w:hAnsi="Cambria Math" w:eastAsia="仿宋_GB2312"/>
                  <w:sz w:val="24"/>
                  <w:szCs w:val="24"/>
                </w:rPr>
                <m:t>同份高考试卷录取到大类的学生的高考平均成绩</m:t>
              </m:r>
              <m:ctrlPr>
                <w:rPr>
                  <w:rFonts w:ascii="Cambria Math" w:hAnsi="Cambria Math" w:eastAsia="仿宋_GB2312"/>
                  <w:bCs/>
                  <w:sz w:val="24"/>
                  <w:szCs w:val="24"/>
                </w:rPr>
              </m:ctrlPr>
            </m:den>
          </m:f>
          <m:r>
            <m:rPr/>
            <w:rPr>
              <w:rFonts w:ascii="Cambria Math" w:hAnsi="Cambria Math" w:eastAsia="仿宋_GB2312"/>
              <w:sz w:val="24"/>
              <w:szCs w:val="24"/>
            </w:rPr>
            <m:t>×40</m:t>
          </m:r>
        </m:oMath>
      </m:oMathPara>
    </w:p>
    <w:p w14:paraId="0715ADC6">
      <w:pPr>
        <w:ind w:left="419" w:firstLine="419"/>
        <w:jc w:val="left"/>
        <w:rPr>
          <w:sz w:val="24"/>
        </w:rPr>
      </w:pPr>
      <w:r>
        <w:rPr>
          <w:sz w:val="24"/>
        </w:rPr>
        <w:t>注：大类分为机械类或机器人工程专业。</w:t>
      </w:r>
    </w:p>
    <w:p w14:paraId="082A4E9E">
      <w:pPr>
        <w:ind w:left="419" w:firstLine="419"/>
        <w:jc w:val="left"/>
        <w:rPr>
          <w:sz w:val="24"/>
        </w:rPr>
      </w:pPr>
    </w:p>
    <w:p w14:paraId="09034AAF">
      <w:pPr>
        <w:pStyle w:val="39"/>
        <w:numPr>
          <w:ilvl w:val="0"/>
          <w:numId w:val="2"/>
        </w:numPr>
        <w:ind w:left="0" w:firstLine="0" w:firstLineChars="0"/>
        <w:jc w:val="left"/>
        <w:rPr>
          <w:rFonts w:ascii="Times New Roman" w:hAnsi="Times New Roman" w:eastAsia="仿宋_GB2312"/>
          <w:color w:val="FF0000"/>
          <w:sz w:val="28"/>
        </w:rPr>
      </w:pPr>
      <w:r>
        <w:rPr>
          <w:rFonts w:hint="eastAsia" w:ascii="Times New Roman" w:hAnsi="Times New Roman" w:eastAsia="仿宋_GB2312"/>
          <w:color w:val="FF0000"/>
          <w:sz w:val="28"/>
        </w:rPr>
        <w:t>同份高考试卷的省内外生源类学生：</w:t>
      </w:r>
    </w:p>
    <w:p w14:paraId="5C98BD94">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sz w:val="28"/>
        </w:rPr>
        <w:t>1）参加全国甲卷高考的考生：</w:t>
      </w:r>
      <w:r>
        <w:rPr>
          <w:rFonts w:hint="eastAsia"/>
          <w:sz w:val="28"/>
        </w:rPr>
        <w:t>四川、陕西、青海、宁夏（满分750分）</w:t>
      </w:r>
    </w:p>
    <w:p w14:paraId="28AFAA3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sz w:val="28"/>
        </w:rPr>
        <w:t>2）参加新</w:t>
      </w:r>
      <w:r>
        <w:rPr>
          <w:rFonts w:hint="eastAsia"/>
          <w:sz w:val="28"/>
        </w:rPr>
        <w:t>课标</w:t>
      </w:r>
      <w:r>
        <w:rPr>
          <w:sz w:val="28"/>
        </w:rPr>
        <w:t>I卷高考的考生：</w:t>
      </w:r>
      <w:r>
        <w:rPr>
          <w:rFonts w:hint="eastAsia"/>
          <w:sz w:val="28"/>
        </w:rPr>
        <w:t>河北、江苏、安徽、福建、江西、山东、湖北、湖南、广东（满分750分）</w:t>
      </w:r>
    </w:p>
    <w:p w14:paraId="7CFE276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rFonts w:hint="eastAsia"/>
          <w:sz w:val="28"/>
        </w:rPr>
        <w:t>3</w:t>
      </w:r>
      <w:r>
        <w:rPr>
          <w:sz w:val="28"/>
        </w:rPr>
        <w:t>）参加新</w:t>
      </w:r>
      <w:r>
        <w:rPr>
          <w:rFonts w:hint="eastAsia"/>
          <w:sz w:val="28"/>
        </w:rPr>
        <w:t>课标</w:t>
      </w:r>
      <w:r>
        <w:rPr>
          <w:sz w:val="28"/>
        </w:rPr>
        <w:t>I卷</w:t>
      </w:r>
      <w:r>
        <w:rPr>
          <w:rFonts w:hint="eastAsia"/>
          <w:sz w:val="28"/>
        </w:rPr>
        <w:t>+文综/理综新课标卷</w:t>
      </w:r>
      <w:r>
        <w:rPr>
          <w:sz w:val="28"/>
        </w:rPr>
        <w:t>高考的考生：</w:t>
      </w:r>
      <w:r>
        <w:rPr>
          <w:rFonts w:hint="eastAsia"/>
          <w:sz w:val="28"/>
        </w:rPr>
        <w:t>河南（满分750分）</w:t>
      </w:r>
    </w:p>
    <w:p w14:paraId="7620E57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rFonts w:hint="eastAsia"/>
          <w:sz w:val="28"/>
        </w:rPr>
        <w:t>4</w:t>
      </w:r>
      <w:r>
        <w:rPr>
          <w:sz w:val="28"/>
        </w:rPr>
        <w:t>）参加新</w:t>
      </w:r>
      <w:r>
        <w:rPr>
          <w:rFonts w:hint="eastAsia"/>
          <w:sz w:val="28"/>
        </w:rPr>
        <w:t>课标</w:t>
      </w:r>
      <w:r>
        <w:rPr>
          <w:sz w:val="28"/>
        </w:rPr>
        <w:t>II卷高考的考生：</w:t>
      </w:r>
      <w:r>
        <w:rPr>
          <w:rFonts w:hint="eastAsia"/>
          <w:sz w:val="28"/>
        </w:rPr>
        <w:t>辽宁、黑龙江、吉林、广西、重庆、贵州、甘肃（满分750分）</w:t>
      </w:r>
    </w:p>
    <w:p w14:paraId="63D7FBD8">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sz w:val="28"/>
        </w:rPr>
      </w:pPr>
      <w:r>
        <w:rPr>
          <w:rFonts w:hint="eastAsia"/>
          <w:sz w:val="28"/>
        </w:rPr>
        <w:t>5</w:t>
      </w:r>
      <w:r>
        <w:rPr>
          <w:sz w:val="28"/>
        </w:rPr>
        <w:t>）参加新</w:t>
      </w:r>
      <w:r>
        <w:rPr>
          <w:rFonts w:hint="eastAsia"/>
          <w:sz w:val="28"/>
        </w:rPr>
        <w:t>课标</w:t>
      </w:r>
      <w:r>
        <w:rPr>
          <w:sz w:val="28"/>
        </w:rPr>
        <w:t>I</w:t>
      </w:r>
      <w:r>
        <w:rPr>
          <w:rFonts w:hint="eastAsia"/>
          <w:sz w:val="28"/>
        </w:rPr>
        <w:t>I</w:t>
      </w:r>
      <w:r>
        <w:rPr>
          <w:sz w:val="28"/>
        </w:rPr>
        <w:t>卷</w:t>
      </w:r>
      <w:r>
        <w:rPr>
          <w:rFonts w:hint="eastAsia"/>
          <w:sz w:val="28"/>
        </w:rPr>
        <w:t>+文综/理综新课标卷</w:t>
      </w:r>
      <w:r>
        <w:rPr>
          <w:sz w:val="28"/>
        </w:rPr>
        <w:t>高考的考生：</w:t>
      </w:r>
      <w:r>
        <w:rPr>
          <w:rFonts w:hint="eastAsia"/>
          <w:sz w:val="28"/>
        </w:rPr>
        <w:t>山西、云南（满分750分）</w:t>
      </w:r>
    </w:p>
    <w:p w14:paraId="671064B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rFonts w:hint="eastAsia"/>
          <w:sz w:val="28"/>
        </w:rPr>
        <w:t>6</w:t>
      </w:r>
      <w:r>
        <w:rPr>
          <w:sz w:val="28"/>
        </w:rPr>
        <w:t>）参加天津市高考的考生（满分750分）</w:t>
      </w:r>
    </w:p>
    <w:p w14:paraId="7AF3BF6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rFonts w:hint="eastAsia"/>
          <w:sz w:val="28"/>
        </w:rPr>
        <w:t>7</w:t>
      </w:r>
      <w:r>
        <w:rPr>
          <w:sz w:val="28"/>
        </w:rPr>
        <w:t>）参加浙江省普通高考的考生（满分750分）</w:t>
      </w:r>
    </w:p>
    <w:p w14:paraId="2C1709C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sz w:val="28"/>
        </w:rPr>
      </w:pPr>
      <w:r>
        <w:rPr>
          <w:rFonts w:hint="eastAsia"/>
          <w:sz w:val="28"/>
        </w:rPr>
        <w:t>8</w:t>
      </w:r>
      <w:r>
        <w:rPr>
          <w:sz w:val="28"/>
        </w:rPr>
        <w:t>）参加浙江省三位一体考试的考生（满分100分）</w:t>
      </w:r>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FFC6E8"/>
    <w:multiLevelType w:val="singleLevel"/>
    <w:tmpl w:val="59FFC6E8"/>
    <w:lvl w:ilvl="0" w:tentative="0">
      <w:start w:val="1"/>
      <w:numFmt w:val="decimal"/>
      <w:suff w:val="space"/>
      <w:lvlText w:val="%1."/>
      <w:lvlJc w:val="left"/>
    </w:lvl>
  </w:abstractNum>
  <w:abstractNum w:abstractNumId="1">
    <w:nsid w:val="7561605A"/>
    <w:multiLevelType w:val="multilevel"/>
    <w:tmpl w:val="756160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drawingGridHorizontalSpacing w:val="3"/>
  <w:drawingGridVerticalSpacing w:val="22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TJiNjI5NjgyNDc3NjU0NTM5NDZiN2U2NWZhNTgifQ=="/>
  </w:docVars>
  <w:rsids>
    <w:rsidRoot w:val="00401103"/>
    <w:rsid w:val="00000613"/>
    <w:rsid w:val="00000A72"/>
    <w:rsid w:val="000011B0"/>
    <w:rsid w:val="00001BE9"/>
    <w:rsid w:val="00002169"/>
    <w:rsid w:val="0000226A"/>
    <w:rsid w:val="00002BEE"/>
    <w:rsid w:val="00003074"/>
    <w:rsid w:val="00003760"/>
    <w:rsid w:val="000077BD"/>
    <w:rsid w:val="0001132D"/>
    <w:rsid w:val="000114C1"/>
    <w:rsid w:val="00011DAA"/>
    <w:rsid w:val="00014C33"/>
    <w:rsid w:val="000150C3"/>
    <w:rsid w:val="0001761E"/>
    <w:rsid w:val="00017D80"/>
    <w:rsid w:val="00021D00"/>
    <w:rsid w:val="00024C95"/>
    <w:rsid w:val="000250E8"/>
    <w:rsid w:val="0002512C"/>
    <w:rsid w:val="00030E42"/>
    <w:rsid w:val="0003108C"/>
    <w:rsid w:val="00033150"/>
    <w:rsid w:val="00034535"/>
    <w:rsid w:val="00036A11"/>
    <w:rsid w:val="00037CBE"/>
    <w:rsid w:val="0004016A"/>
    <w:rsid w:val="00041A38"/>
    <w:rsid w:val="00041FC9"/>
    <w:rsid w:val="00042CD8"/>
    <w:rsid w:val="00043F71"/>
    <w:rsid w:val="0004445A"/>
    <w:rsid w:val="000460F4"/>
    <w:rsid w:val="00046385"/>
    <w:rsid w:val="00046C59"/>
    <w:rsid w:val="00046FE9"/>
    <w:rsid w:val="00051E16"/>
    <w:rsid w:val="00052F3C"/>
    <w:rsid w:val="00053D20"/>
    <w:rsid w:val="00055F54"/>
    <w:rsid w:val="00057EEA"/>
    <w:rsid w:val="00061525"/>
    <w:rsid w:val="00061741"/>
    <w:rsid w:val="00062541"/>
    <w:rsid w:val="0006262A"/>
    <w:rsid w:val="00063B1C"/>
    <w:rsid w:val="0006565E"/>
    <w:rsid w:val="00065915"/>
    <w:rsid w:val="00066220"/>
    <w:rsid w:val="0006686E"/>
    <w:rsid w:val="000670CC"/>
    <w:rsid w:val="00067AD4"/>
    <w:rsid w:val="000710C6"/>
    <w:rsid w:val="00072632"/>
    <w:rsid w:val="00072F0F"/>
    <w:rsid w:val="00075A01"/>
    <w:rsid w:val="00075ECF"/>
    <w:rsid w:val="00080606"/>
    <w:rsid w:val="00080969"/>
    <w:rsid w:val="00080D54"/>
    <w:rsid w:val="00081392"/>
    <w:rsid w:val="000825F7"/>
    <w:rsid w:val="00082AD7"/>
    <w:rsid w:val="000835CE"/>
    <w:rsid w:val="000859D8"/>
    <w:rsid w:val="00085CB6"/>
    <w:rsid w:val="000871B4"/>
    <w:rsid w:val="0008761C"/>
    <w:rsid w:val="0009153B"/>
    <w:rsid w:val="000923CF"/>
    <w:rsid w:val="00093526"/>
    <w:rsid w:val="0009353A"/>
    <w:rsid w:val="000935F6"/>
    <w:rsid w:val="00094004"/>
    <w:rsid w:val="0009443D"/>
    <w:rsid w:val="00096EBD"/>
    <w:rsid w:val="000A01AD"/>
    <w:rsid w:val="000A0731"/>
    <w:rsid w:val="000A0F35"/>
    <w:rsid w:val="000A1D23"/>
    <w:rsid w:val="000A405D"/>
    <w:rsid w:val="000A793C"/>
    <w:rsid w:val="000B1FAC"/>
    <w:rsid w:val="000B3E1D"/>
    <w:rsid w:val="000B56A6"/>
    <w:rsid w:val="000B667A"/>
    <w:rsid w:val="000B7D90"/>
    <w:rsid w:val="000C17A1"/>
    <w:rsid w:val="000C1B70"/>
    <w:rsid w:val="000C2E4D"/>
    <w:rsid w:val="000C4574"/>
    <w:rsid w:val="000C487F"/>
    <w:rsid w:val="000C4D15"/>
    <w:rsid w:val="000C4FC7"/>
    <w:rsid w:val="000D1F6C"/>
    <w:rsid w:val="000D628D"/>
    <w:rsid w:val="000E3D53"/>
    <w:rsid w:val="000E43F4"/>
    <w:rsid w:val="000F0916"/>
    <w:rsid w:val="000F100C"/>
    <w:rsid w:val="000F1FA2"/>
    <w:rsid w:val="000F284D"/>
    <w:rsid w:val="000F4609"/>
    <w:rsid w:val="000F47D4"/>
    <w:rsid w:val="000F54AF"/>
    <w:rsid w:val="000F684D"/>
    <w:rsid w:val="000F6A3C"/>
    <w:rsid w:val="000F6CA8"/>
    <w:rsid w:val="0010009B"/>
    <w:rsid w:val="00100706"/>
    <w:rsid w:val="00101B6B"/>
    <w:rsid w:val="00101FA1"/>
    <w:rsid w:val="00102DF3"/>
    <w:rsid w:val="0010333B"/>
    <w:rsid w:val="00103357"/>
    <w:rsid w:val="0010456B"/>
    <w:rsid w:val="00104781"/>
    <w:rsid w:val="0010627C"/>
    <w:rsid w:val="00110F7E"/>
    <w:rsid w:val="0011100D"/>
    <w:rsid w:val="001111E9"/>
    <w:rsid w:val="001120C1"/>
    <w:rsid w:val="00112610"/>
    <w:rsid w:val="00112CAE"/>
    <w:rsid w:val="00112E57"/>
    <w:rsid w:val="0011422D"/>
    <w:rsid w:val="00114440"/>
    <w:rsid w:val="00114788"/>
    <w:rsid w:val="00114F88"/>
    <w:rsid w:val="00115316"/>
    <w:rsid w:val="00115846"/>
    <w:rsid w:val="00117111"/>
    <w:rsid w:val="00117384"/>
    <w:rsid w:val="001177E4"/>
    <w:rsid w:val="00117C63"/>
    <w:rsid w:val="00120605"/>
    <w:rsid w:val="00120C3F"/>
    <w:rsid w:val="00121C40"/>
    <w:rsid w:val="00122EDD"/>
    <w:rsid w:val="00123106"/>
    <w:rsid w:val="00123241"/>
    <w:rsid w:val="00124D72"/>
    <w:rsid w:val="0012610B"/>
    <w:rsid w:val="001266B5"/>
    <w:rsid w:val="00133E0D"/>
    <w:rsid w:val="00134144"/>
    <w:rsid w:val="00134D92"/>
    <w:rsid w:val="00135118"/>
    <w:rsid w:val="0013520A"/>
    <w:rsid w:val="001352FB"/>
    <w:rsid w:val="00135ACA"/>
    <w:rsid w:val="0014083F"/>
    <w:rsid w:val="00142B5F"/>
    <w:rsid w:val="001454DD"/>
    <w:rsid w:val="00145EAE"/>
    <w:rsid w:val="001464B5"/>
    <w:rsid w:val="00146EE9"/>
    <w:rsid w:val="001475BD"/>
    <w:rsid w:val="00147EB1"/>
    <w:rsid w:val="0015184F"/>
    <w:rsid w:val="0015459B"/>
    <w:rsid w:val="00155207"/>
    <w:rsid w:val="00155495"/>
    <w:rsid w:val="00155997"/>
    <w:rsid w:val="00156A28"/>
    <w:rsid w:val="00156C32"/>
    <w:rsid w:val="001570B0"/>
    <w:rsid w:val="00157C45"/>
    <w:rsid w:val="00157D75"/>
    <w:rsid w:val="001600AF"/>
    <w:rsid w:val="00160E81"/>
    <w:rsid w:val="0016159C"/>
    <w:rsid w:val="00161853"/>
    <w:rsid w:val="001619E0"/>
    <w:rsid w:val="00164493"/>
    <w:rsid w:val="00165AA5"/>
    <w:rsid w:val="00166797"/>
    <w:rsid w:val="00166C9D"/>
    <w:rsid w:val="00166F78"/>
    <w:rsid w:val="00170490"/>
    <w:rsid w:val="00171875"/>
    <w:rsid w:val="00172192"/>
    <w:rsid w:val="00172D4C"/>
    <w:rsid w:val="00174274"/>
    <w:rsid w:val="00174989"/>
    <w:rsid w:val="00175ACB"/>
    <w:rsid w:val="00176560"/>
    <w:rsid w:val="001765BF"/>
    <w:rsid w:val="00177186"/>
    <w:rsid w:val="00177405"/>
    <w:rsid w:val="00177FE6"/>
    <w:rsid w:val="00182BF2"/>
    <w:rsid w:val="001845B3"/>
    <w:rsid w:val="001854F7"/>
    <w:rsid w:val="0019236C"/>
    <w:rsid w:val="0019296D"/>
    <w:rsid w:val="00192D44"/>
    <w:rsid w:val="00193991"/>
    <w:rsid w:val="00195077"/>
    <w:rsid w:val="0019686E"/>
    <w:rsid w:val="001968D0"/>
    <w:rsid w:val="001A0BD8"/>
    <w:rsid w:val="001A1707"/>
    <w:rsid w:val="001A36E1"/>
    <w:rsid w:val="001A3E73"/>
    <w:rsid w:val="001A5D3C"/>
    <w:rsid w:val="001A6958"/>
    <w:rsid w:val="001B0343"/>
    <w:rsid w:val="001B11A3"/>
    <w:rsid w:val="001B16F1"/>
    <w:rsid w:val="001B21B1"/>
    <w:rsid w:val="001B3174"/>
    <w:rsid w:val="001B4E50"/>
    <w:rsid w:val="001B60D8"/>
    <w:rsid w:val="001B6D3E"/>
    <w:rsid w:val="001B6D4F"/>
    <w:rsid w:val="001B6D80"/>
    <w:rsid w:val="001C0E55"/>
    <w:rsid w:val="001C129F"/>
    <w:rsid w:val="001C1B33"/>
    <w:rsid w:val="001C2BA5"/>
    <w:rsid w:val="001C31DC"/>
    <w:rsid w:val="001C38DB"/>
    <w:rsid w:val="001C3A42"/>
    <w:rsid w:val="001C6CF9"/>
    <w:rsid w:val="001D14D9"/>
    <w:rsid w:val="001D2A4A"/>
    <w:rsid w:val="001D2A85"/>
    <w:rsid w:val="001D4326"/>
    <w:rsid w:val="001D4719"/>
    <w:rsid w:val="001D4B02"/>
    <w:rsid w:val="001D581F"/>
    <w:rsid w:val="001D638C"/>
    <w:rsid w:val="001D66BE"/>
    <w:rsid w:val="001D6B89"/>
    <w:rsid w:val="001D75D0"/>
    <w:rsid w:val="001D7A37"/>
    <w:rsid w:val="001E20C9"/>
    <w:rsid w:val="001E2687"/>
    <w:rsid w:val="001E5466"/>
    <w:rsid w:val="001E61F6"/>
    <w:rsid w:val="001E6A84"/>
    <w:rsid w:val="001F0F46"/>
    <w:rsid w:val="001F1DD7"/>
    <w:rsid w:val="001F21A9"/>
    <w:rsid w:val="001F2D76"/>
    <w:rsid w:val="001F3489"/>
    <w:rsid w:val="001F5C56"/>
    <w:rsid w:val="001F5CB7"/>
    <w:rsid w:val="001F6D4E"/>
    <w:rsid w:val="002012FC"/>
    <w:rsid w:val="00201C7D"/>
    <w:rsid w:val="002045A4"/>
    <w:rsid w:val="002052B5"/>
    <w:rsid w:val="00206A35"/>
    <w:rsid w:val="00210D8C"/>
    <w:rsid w:val="002129EA"/>
    <w:rsid w:val="0021402F"/>
    <w:rsid w:val="00216757"/>
    <w:rsid w:val="0021698E"/>
    <w:rsid w:val="00216CF5"/>
    <w:rsid w:val="00217BDB"/>
    <w:rsid w:val="00222717"/>
    <w:rsid w:val="00222A7F"/>
    <w:rsid w:val="002245BC"/>
    <w:rsid w:val="00225109"/>
    <w:rsid w:val="0022567E"/>
    <w:rsid w:val="00226FF1"/>
    <w:rsid w:val="002300EA"/>
    <w:rsid w:val="00231F4C"/>
    <w:rsid w:val="002321E9"/>
    <w:rsid w:val="002322A4"/>
    <w:rsid w:val="002322A5"/>
    <w:rsid w:val="0023283D"/>
    <w:rsid w:val="00233BE4"/>
    <w:rsid w:val="00233DC2"/>
    <w:rsid w:val="002343ED"/>
    <w:rsid w:val="00235B1C"/>
    <w:rsid w:val="00237266"/>
    <w:rsid w:val="00237D2F"/>
    <w:rsid w:val="00241D7B"/>
    <w:rsid w:val="00244577"/>
    <w:rsid w:val="002466BC"/>
    <w:rsid w:val="00247922"/>
    <w:rsid w:val="00247B12"/>
    <w:rsid w:val="00250D43"/>
    <w:rsid w:val="00251AC3"/>
    <w:rsid w:val="0025268A"/>
    <w:rsid w:val="00254EAC"/>
    <w:rsid w:val="00257EA8"/>
    <w:rsid w:val="00260782"/>
    <w:rsid w:val="00261DC1"/>
    <w:rsid w:val="00264343"/>
    <w:rsid w:val="002649EE"/>
    <w:rsid w:val="0026686D"/>
    <w:rsid w:val="00266F7F"/>
    <w:rsid w:val="00270381"/>
    <w:rsid w:val="00270F39"/>
    <w:rsid w:val="00270F72"/>
    <w:rsid w:val="002737AA"/>
    <w:rsid w:val="00274C4D"/>
    <w:rsid w:val="0027647D"/>
    <w:rsid w:val="00281B3D"/>
    <w:rsid w:val="00282A19"/>
    <w:rsid w:val="00282A98"/>
    <w:rsid w:val="002833FE"/>
    <w:rsid w:val="00283420"/>
    <w:rsid w:val="00283C40"/>
    <w:rsid w:val="002845A0"/>
    <w:rsid w:val="0028510A"/>
    <w:rsid w:val="0028590F"/>
    <w:rsid w:val="00286ABC"/>
    <w:rsid w:val="0028707A"/>
    <w:rsid w:val="00290E87"/>
    <w:rsid w:val="0029294B"/>
    <w:rsid w:val="00294898"/>
    <w:rsid w:val="00295C7D"/>
    <w:rsid w:val="00297618"/>
    <w:rsid w:val="00297B48"/>
    <w:rsid w:val="002A2A68"/>
    <w:rsid w:val="002A3281"/>
    <w:rsid w:val="002A34F8"/>
    <w:rsid w:val="002A3E55"/>
    <w:rsid w:val="002A4BA5"/>
    <w:rsid w:val="002A6089"/>
    <w:rsid w:val="002B1662"/>
    <w:rsid w:val="002B3BB3"/>
    <w:rsid w:val="002B3ED3"/>
    <w:rsid w:val="002B40CF"/>
    <w:rsid w:val="002B48B7"/>
    <w:rsid w:val="002B4C99"/>
    <w:rsid w:val="002B4DDB"/>
    <w:rsid w:val="002B5CFD"/>
    <w:rsid w:val="002B6C4D"/>
    <w:rsid w:val="002C07A3"/>
    <w:rsid w:val="002C11C9"/>
    <w:rsid w:val="002C5369"/>
    <w:rsid w:val="002C6C95"/>
    <w:rsid w:val="002C75E1"/>
    <w:rsid w:val="002C7C98"/>
    <w:rsid w:val="002D0ED1"/>
    <w:rsid w:val="002D581B"/>
    <w:rsid w:val="002D67BF"/>
    <w:rsid w:val="002D6A4D"/>
    <w:rsid w:val="002D6E5C"/>
    <w:rsid w:val="002D7AC9"/>
    <w:rsid w:val="002E0EE4"/>
    <w:rsid w:val="002E2462"/>
    <w:rsid w:val="002E6D3B"/>
    <w:rsid w:val="002F015C"/>
    <w:rsid w:val="002F11C5"/>
    <w:rsid w:val="002F293A"/>
    <w:rsid w:val="002F3155"/>
    <w:rsid w:val="002F4233"/>
    <w:rsid w:val="002F451A"/>
    <w:rsid w:val="002F5DA5"/>
    <w:rsid w:val="002F6772"/>
    <w:rsid w:val="002F6846"/>
    <w:rsid w:val="002F76C7"/>
    <w:rsid w:val="002F788E"/>
    <w:rsid w:val="003009AB"/>
    <w:rsid w:val="00303598"/>
    <w:rsid w:val="003046B1"/>
    <w:rsid w:val="00304E99"/>
    <w:rsid w:val="003067AD"/>
    <w:rsid w:val="0031320D"/>
    <w:rsid w:val="0031477B"/>
    <w:rsid w:val="00314CC1"/>
    <w:rsid w:val="00315505"/>
    <w:rsid w:val="00317235"/>
    <w:rsid w:val="00317A32"/>
    <w:rsid w:val="00317DF8"/>
    <w:rsid w:val="00322F40"/>
    <w:rsid w:val="00325F5D"/>
    <w:rsid w:val="003271D3"/>
    <w:rsid w:val="00327D37"/>
    <w:rsid w:val="00332223"/>
    <w:rsid w:val="00332880"/>
    <w:rsid w:val="003342E9"/>
    <w:rsid w:val="003350E9"/>
    <w:rsid w:val="00335465"/>
    <w:rsid w:val="00337139"/>
    <w:rsid w:val="00337585"/>
    <w:rsid w:val="00337A44"/>
    <w:rsid w:val="003412B9"/>
    <w:rsid w:val="003418EC"/>
    <w:rsid w:val="00341BFB"/>
    <w:rsid w:val="0034345A"/>
    <w:rsid w:val="0035081D"/>
    <w:rsid w:val="00350C83"/>
    <w:rsid w:val="00353049"/>
    <w:rsid w:val="003549D8"/>
    <w:rsid w:val="00354CC8"/>
    <w:rsid w:val="003555F7"/>
    <w:rsid w:val="0036040C"/>
    <w:rsid w:val="00361B5B"/>
    <w:rsid w:val="003621A9"/>
    <w:rsid w:val="003636BC"/>
    <w:rsid w:val="00365AB6"/>
    <w:rsid w:val="003670DB"/>
    <w:rsid w:val="00367AAC"/>
    <w:rsid w:val="00371ABA"/>
    <w:rsid w:val="00372462"/>
    <w:rsid w:val="00376263"/>
    <w:rsid w:val="00377DF2"/>
    <w:rsid w:val="00382686"/>
    <w:rsid w:val="00382F14"/>
    <w:rsid w:val="00384F83"/>
    <w:rsid w:val="00385D67"/>
    <w:rsid w:val="003906C5"/>
    <w:rsid w:val="00390E10"/>
    <w:rsid w:val="00391562"/>
    <w:rsid w:val="003917AB"/>
    <w:rsid w:val="003932F2"/>
    <w:rsid w:val="00393449"/>
    <w:rsid w:val="0039408C"/>
    <w:rsid w:val="00397629"/>
    <w:rsid w:val="003977C9"/>
    <w:rsid w:val="003A0B2F"/>
    <w:rsid w:val="003A1A36"/>
    <w:rsid w:val="003A226D"/>
    <w:rsid w:val="003A2C98"/>
    <w:rsid w:val="003A33D4"/>
    <w:rsid w:val="003A3F42"/>
    <w:rsid w:val="003A449B"/>
    <w:rsid w:val="003A741D"/>
    <w:rsid w:val="003A7C14"/>
    <w:rsid w:val="003B1D7E"/>
    <w:rsid w:val="003B38DC"/>
    <w:rsid w:val="003B3D80"/>
    <w:rsid w:val="003B4624"/>
    <w:rsid w:val="003B6940"/>
    <w:rsid w:val="003C132F"/>
    <w:rsid w:val="003C154F"/>
    <w:rsid w:val="003C1D92"/>
    <w:rsid w:val="003C2598"/>
    <w:rsid w:val="003C2976"/>
    <w:rsid w:val="003C37B4"/>
    <w:rsid w:val="003C3A16"/>
    <w:rsid w:val="003C3FC1"/>
    <w:rsid w:val="003C491C"/>
    <w:rsid w:val="003C4F9C"/>
    <w:rsid w:val="003C5C5A"/>
    <w:rsid w:val="003C7374"/>
    <w:rsid w:val="003D0330"/>
    <w:rsid w:val="003D1A9E"/>
    <w:rsid w:val="003D2C6D"/>
    <w:rsid w:val="003D30E5"/>
    <w:rsid w:val="003D3A92"/>
    <w:rsid w:val="003D4400"/>
    <w:rsid w:val="003D649F"/>
    <w:rsid w:val="003D6E15"/>
    <w:rsid w:val="003E0400"/>
    <w:rsid w:val="003E1306"/>
    <w:rsid w:val="003E1C0E"/>
    <w:rsid w:val="003E3206"/>
    <w:rsid w:val="003E7798"/>
    <w:rsid w:val="003E77DE"/>
    <w:rsid w:val="003E7D4A"/>
    <w:rsid w:val="003F0BA4"/>
    <w:rsid w:val="003F22BD"/>
    <w:rsid w:val="003F320B"/>
    <w:rsid w:val="003F38F2"/>
    <w:rsid w:val="003F5915"/>
    <w:rsid w:val="003F670E"/>
    <w:rsid w:val="003F6DA9"/>
    <w:rsid w:val="003F7542"/>
    <w:rsid w:val="00401103"/>
    <w:rsid w:val="00405D0C"/>
    <w:rsid w:val="00406BEF"/>
    <w:rsid w:val="004071F0"/>
    <w:rsid w:val="00407328"/>
    <w:rsid w:val="004106BB"/>
    <w:rsid w:val="00411757"/>
    <w:rsid w:val="00412051"/>
    <w:rsid w:val="00414DEA"/>
    <w:rsid w:val="004166F8"/>
    <w:rsid w:val="004169D4"/>
    <w:rsid w:val="00416C2B"/>
    <w:rsid w:val="00420C0D"/>
    <w:rsid w:val="004236AF"/>
    <w:rsid w:val="004244DB"/>
    <w:rsid w:val="0042475F"/>
    <w:rsid w:val="0042588A"/>
    <w:rsid w:val="00425FC8"/>
    <w:rsid w:val="00426739"/>
    <w:rsid w:val="0043022E"/>
    <w:rsid w:val="004312B1"/>
    <w:rsid w:val="00432296"/>
    <w:rsid w:val="00433E7E"/>
    <w:rsid w:val="00434A70"/>
    <w:rsid w:val="00437C01"/>
    <w:rsid w:val="00440143"/>
    <w:rsid w:val="004409B6"/>
    <w:rsid w:val="00442661"/>
    <w:rsid w:val="00442DEA"/>
    <w:rsid w:val="0044327C"/>
    <w:rsid w:val="00445BAB"/>
    <w:rsid w:val="00445D34"/>
    <w:rsid w:val="00446881"/>
    <w:rsid w:val="004472F3"/>
    <w:rsid w:val="00447585"/>
    <w:rsid w:val="004500F4"/>
    <w:rsid w:val="0045032D"/>
    <w:rsid w:val="00450389"/>
    <w:rsid w:val="00450F2D"/>
    <w:rsid w:val="0045107A"/>
    <w:rsid w:val="0045137D"/>
    <w:rsid w:val="0045521E"/>
    <w:rsid w:val="004557BD"/>
    <w:rsid w:val="004558CF"/>
    <w:rsid w:val="00456891"/>
    <w:rsid w:val="004572E4"/>
    <w:rsid w:val="0045733C"/>
    <w:rsid w:val="00457B9E"/>
    <w:rsid w:val="00461A2A"/>
    <w:rsid w:val="00464A0F"/>
    <w:rsid w:val="00464BC5"/>
    <w:rsid w:val="00464D7E"/>
    <w:rsid w:val="00465B39"/>
    <w:rsid w:val="00466681"/>
    <w:rsid w:val="00467FEA"/>
    <w:rsid w:val="00471087"/>
    <w:rsid w:val="0047133E"/>
    <w:rsid w:val="00471727"/>
    <w:rsid w:val="0047221B"/>
    <w:rsid w:val="00472734"/>
    <w:rsid w:val="00473592"/>
    <w:rsid w:val="00473DDA"/>
    <w:rsid w:val="00474658"/>
    <w:rsid w:val="004757F7"/>
    <w:rsid w:val="00475F9E"/>
    <w:rsid w:val="0048113B"/>
    <w:rsid w:val="00481828"/>
    <w:rsid w:val="00482062"/>
    <w:rsid w:val="0048249E"/>
    <w:rsid w:val="00484289"/>
    <w:rsid w:val="004846AC"/>
    <w:rsid w:val="004877B4"/>
    <w:rsid w:val="00490028"/>
    <w:rsid w:val="004920B8"/>
    <w:rsid w:val="004931C7"/>
    <w:rsid w:val="0049365B"/>
    <w:rsid w:val="0049451B"/>
    <w:rsid w:val="0049554E"/>
    <w:rsid w:val="00496537"/>
    <w:rsid w:val="004A0712"/>
    <w:rsid w:val="004A1821"/>
    <w:rsid w:val="004A1D9D"/>
    <w:rsid w:val="004A1EF3"/>
    <w:rsid w:val="004A2CE8"/>
    <w:rsid w:val="004A3C77"/>
    <w:rsid w:val="004A652B"/>
    <w:rsid w:val="004A7600"/>
    <w:rsid w:val="004B0C0A"/>
    <w:rsid w:val="004B11C2"/>
    <w:rsid w:val="004B2007"/>
    <w:rsid w:val="004B2492"/>
    <w:rsid w:val="004B2698"/>
    <w:rsid w:val="004B422E"/>
    <w:rsid w:val="004B487F"/>
    <w:rsid w:val="004B5ED6"/>
    <w:rsid w:val="004B6AF2"/>
    <w:rsid w:val="004B7E13"/>
    <w:rsid w:val="004C08B8"/>
    <w:rsid w:val="004C366F"/>
    <w:rsid w:val="004C3E78"/>
    <w:rsid w:val="004C4F06"/>
    <w:rsid w:val="004C52C3"/>
    <w:rsid w:val="004C5696"/>
    <w:rsid w:val="004C68E0"/>
    <w:rsid w:val="004D19F8"/>
    <w:rsid w:val="004D2DDD"/>
    <w:rsid w:val="004D3070"/>
    <w:rsid w:val="004D374D"/>
    <w:rsid w:val="004D461D"/>
    <w:rsid w:val="004D6A94"/>
    <w:rsid w:val="004E35D4"/>
    <w:rsid w:val="004E5246"/>
    <w:rsid w:val="004E614F"/>
    <w:rsid w:val="004E6A50"/>
    <w:rsid w:val="004E747F"/>
    <w:rsid w:val="004E7B5A"/>
    <w:rsid w:val="004E7CEB"/>
    <w:rsid w:val="004F1838"/>
    <w:rsid w:val="004F1ABB"/>
    <w:rsid w:val="004F2CBF"/>
    <w:rsid w:val="004F450B"/>
    <w:rsid w:val="004F5E16"/>
    <w:rsid w:val="004F675F"/>
    <w:rsid w:val="004F6B08"/>
    <w:rsid w:val="004F6D44"/>
    <w:rsid w:val="004F7414"/>
    <w:rsid w:val="004F7677"/>
    <w:rsid w:val="0050410D"/>
    <w:rsid w:val="00506574"/>
    <w:rsid w:val="00506EEE"/>
    <w:rsid w:val="00507A53"/>
    <w:rsid w:val="00507FF1"/>
    <w:rsid w:val="00520164"/>
    <w:rsid w:val="00523B38"/>
    <w:rsid w:val="005252B4"/>
    <w:rsid w:val="00525ADB"/>
    <w:rsid w:val="00525B07"/>
    <w:rsid w:val="0053021E"/>
    <w:rsid w:val="0053022E"/>
    <w:rsid w:val="00530A21"/>
    <w:rsid w:val="005355D0"/>
    <w:rsid w:val="00540A31"/>
    <w:rsid w:val="00542B78"/>
    <w:rsid w:val="00542CA2"/>
    <w:rsid w:val="00543867"/>
    <w:rsid w:val="00543C53"/>
    <w:rsid w:val="005444E9"/>
    <w:rsid w:val="00544B39"/>
    <w:rsid w:val="005473A1"/>
    <w:rsid w:val="005475E7"/>
    <w:rsid w:val="00547687"/>
    <w:rsid w:val="00547E32"/>
    <w:rsid w:val="00550B16"/>
    <w:rsid w:val="005513FA"/>
    <w:rsid w:val="00557021"/>
    <w:rsid w:val="005606FE"/>
    <w:rsid w:val="005624AC"/>
    <w:rsid w:val="005653D0"/>
    <w:rsid w:val="0056598F"/>
    <w:rsid w:val="005709B7"/>
    <w:rsid w:val="005710E0"/>
    <w:rsid w:val="005717E4"/>
    <w:rsid w:val="00573387"/>
    <w:rsid w:val="00574199"/>
    <w:rsid w:val="00574358"/>
    <w:rsid w:val="005757DE"/>
    <w:rsid w:val="00575EBD"/>
    <w:rsid w:val="0057677F"/>
    <w:rsid w:val="00577611"/>
    <w:rsid w:val="00577625"/>
    <w:rsid w:val="00577DD5"/>
    <w:rsid w:val="005803FF"/>
    <w:rsid w:val="00580AC8"/>
    <w:rsid w:val="00583232"/>
    <w:rsid w:val="00585A86"/>
    <w:rsid w:val="00587526"/>
    <w:rsid w:val="00591387"/>
    <w:rsid w:val="00592C10"/>
    <w:rsid w:val="00592E18"/>
    <w:rsid w:val="0059398B"/>
    <w:rsid w:val="00593CE3"/>
    <w:rsid w:val="0059533E"/>
    <w:rsid w:val="00597BEB"/>
    <w:rsid w:val="005A0BAE"/>
    <w:rsid w:val="005A3416"/>
    <w:rsid w:val="005A52AA"/>
    <w:rsid w:val="005A5C6B"/>
    <w:rsid w:val="005A7ECC"/>
    <w:rsid w:val="005B25E0"/>
    <w:rsid w:val="005B3AF9"/>
    <w:rsid w:val="005B3F69"/>
    <w:rsid w:val="005B4B9E"/>
    <w:rsid w:val="005B63E7"/>
    <w:rsid w:val="005B658D"/>
    <w:rsid w:val="005B6BC4"/>
    <w:rsid w:val="005B6BCB"/>
    <w:rsid w:val="005B75C5"/>
    <w:rsid w:val="005C0A17"/>
    <w:rsid w:val="005C3F8B"/>
    <w:rsid w:val="005C491B"/>
    <w:rsid w:val="005C59C5"/>
    <w:rsid w:val="005C6846"/>
    <w:rsid w:val="005D1C6D"/>
    <w:rsid w:val="005D2D09"/>
    <w:rsid w:val="005D383B"/>
    <w:rsid w:val="005D41D3"/>
    <w:rsid w:val="005D485F"/>
    <w:rsid w:val="005D5818"/>
    <w:rsid w:val="005D7B63"/>
    <w:rsid w:val="005E1AB7"/>
    <w:rsid w:val="005E1DA7"/>
    <w:rsid w:val="005E2527"/>
    <w:rsid w:val="005E5E77"/>
    <w:rsid w:val="005E60A2"/>
    <w:rsid w:val="005E629C"/>
    <w:rsid w:val="005E66CB"/>
    <w:rsid w:val="005E6B33"/>
    <w:rsid w:val="005F0561"/>
    <w:rsid w:val="005F0627"/>
    <w:rsid w:val="005F0806"/>
    <w:rsid w:val="005F1415"/>
    <w:rsid w:val="005F1DA9"/>
    <w:rsid w:val="005F2F84"/>
    <w:rsid w:val="005F4163"/>
    <w:rsid w:val="005F4679"/>
    <w:rsid w:val="005F56D1"/>
    <w:rsid w:val="005F6F9E"/>
    <w:rsid w:val="006004EB"/>
    <w:rsid w:val="006011E4"/>
    <w:rsid w:val="0060275A"/>
    <w:rsid w:val="0060383F"/>
    <w:rsid w:val="00603BF2"/>
    <w:rsid w:val="00604B1D"/>
    <w:rsid w:val="00605E5E"/>
    <w:rsid w:val="0060622A"/>
    <w:rsid w:val="0060718A"/>
    <w:rsid w:val="00611553"/>
    <w:rsid w:val="00611D0F"/>
    <w:rsid w:val="00612565"/>
    <w:rsid w:val="006131CB"/>
    <w:rsid w:val="00613558"/>
    <w:rsid w:val="00613A83"/>
    <w:rsid w:val="00614992"/>
    <w:rsid w:val="0061595F"/>
    <w:rsid w:val="00615B24"/>
    <w:rsid w:val="00616388"/>
    <w:rsid w:val="0062065E"/>
    <w:rsid w:val="00621BA3"/>
    <w:rsid w:val="00622447"/>
    <w:rsid w:val="00622F36"/>
    <w:rsid w:val="0062477E"/>
    <w:rsid w:val="00624DEF"/>
    <w:rsid w:val="006252AF"/>
    <w:rsid w:val="006258ED"/>
    <w:rsid w:val="006263AC"/>
    <w:rsid w:val="00626D28"/>
    <w:rsid w:val="006275C8"/>
    <w:rsid w:val="00630609"/>
    <w:rsid w:val="00630F48"/>
    <w:rsid w:val="00633ADA"/>
    <w:rsid w:val="006357A5"/>
    <w:rsid w:val="006365A9"/>
    <w:rsid w:val="00637E92"/>
    <w:rsid w:val="00637F6E"/>
    <w:rsid w:val="00642024"/>
    <w:rsid w:val="006421B9"/>
    <w:rsid w:val="00642ADB"/>
    <w:rsid w:val="006457DB"/>
    <w:rsid w:val="006464B0"/>
    <w:rsid w:val="00650E2A"/>
    <w:rsid w:val="00650ED9"/>
    <w:rsid w:val="00651DBB"/>
    <w:rsid w:val="00651E43"/>
    <w:rsid w:val="006526F5"/>
    <w:rsid w:val="00653553"/>
    <w:rsid w:val="0065422E"/>
    <w:rsid w:val="00654E7B"/>
    <w:rsid w:val="006564DC"/>
    <w:rsid w:val="006579D2"/>
    <w:rsid w:val="00660A02"/>
    <w:rsid w:val="00660D5F"/>
    <w:rsid w:val="006612E1"/>
    <w:rsid w:val="0066199C"/>
    <w:rsid w:val="0066214D"/>
    <w:rsid w:val="0066239A"/>
    <w:rsid w:val="00662A02"/>
    <w:rsid w:val="006631BA"/>
    <w:rsid w:val="00663830"/>
    <w:rsid w:val="006662F5"/>
    <w:rsid w:val="00666329"/>
    <w:rsid w:val="006670B6"/>
    <w:rsid w:val="00670433"/>
    <w:rsid w:val="00671F19"/>
    <w:rsid w:val="006720C1"/>
    <w:rsid w:val="00672255"/>
    <w:rsid w:val="00674BE8"/>
    <w:rsid w:val="0067645D"/>
    <w:rsid w:val="006764EB"/>
    <w:rsid w:val="00677257"/>
    <w:rsid w:val="0068195D"/>
    <w:rsid w:val="00681D66"/>
    <w:rsid w:val="00682868"/>
    <w:rsid w:val="00684267"/>
    <w:rsid w:val="006843D6"/>
    <w:rsid w:val="00684B9F"/>
    <w:rsid w:val="00686729"/>
    <w:rsid w:val="00686D66"/>
    <w:rsid w:val="00690434"/>
    <w:rsid w:val="00690C50"/>
    <w:rsid w:val="0069107F"/>
    <w:rsid w:val="0069167A"/>
    <w:rsid w:val="00691900"/>
    <w:rsid w:val="00692721"/>
    <w:rsid w:val="006945C8"/>
    <w:rsid w:val="006950F9"/>
    <w:rsid w:val="00695AE1"/>
    <w:rsid w:val="006A0009"/>
    <w:rsid w:val="006A3FAF"/>
    <w:rsid w:val="006A428F"/>
    <w:rsid w:val="006A443C"/>
    <w:rsid w:val="006A6173"/>
    <w:rsid w:val="006A79EB"/>
    <w:rsid w:val="006A7D2A"/>
    <w:rsid w:val="006B040D"/>
    <w:rsid w:val="006B0683"/>
    <w:rsid w:val="006B0AEC"/>
    <w:rsid w:val="006B0E42"/>
    <w:rsid w:val="006B1AC6"/>
    <w:rsid w:val="006B2A98"/>
    <w:rsid w:val="006B2B43"/>
    <w:rsid w:val="006B34D3"/>
    <w:rsid w:val="006B3679"/>
    <w:rsid w:val="006B461A"/>
    <w:rsid w:val="006B564D"/>
    <w:rsid w:val="006B6613"/>
    <w:rsid w:val="006B670D"/>
    <w:rsid w:val="006B6E61"/>
    <w:rsid w:val="006B7F19"/>
    <w:rsid w:val="006B7F9B"/>
    <w:rsid w:val="006C05F8"/>
    <w:rsid w:val="006C16EF"/>
    <w:rsid w:val="006C236E"/>
    <w:rsid w:val="006C27EB"/>
    <w:rsid w:val="006C2C77"/>
    <w:rsid w:val="006C3563"/>
    <w:rsid w:val="006C4137"/>
    <w:rsid w:val="006C462F"/>
    <w:rsid w:val="006C5B3F"/>
    <w:rsid w:val="006C5E43"/>
    <w:rsid w:val="006C5F6F"/>
    <w:rsid w:val="006C63AE"/>
    <w:rsid w:val="006C7144"/>
    <w:rsid w:val="006C721F"/>
    <w:rsid w:val="006D0552"/>
    <w:rsid w:val="006D2C2A"/>
    <w:rsid w:val="006D314F"/>
    <w:rsid w:val="006D4630"/>
    <w:rsid w:val="006D5008"/>
    <w:rsid w:val="006D5BBB"/>
    <w:rsid w:val="006D7CAC"/>
    <w:rsid w:val="006E0633"/>
    <w:rsid w:val="006E06FA"/>
    <w:rsid w:val="006E0961"/>
    <w:rsid w:val="006E0986"/>
    <w:rsid w:val="006E1010"/>
    <w:rsid w:val="006E3D30"/>
    <w:rsid w:val="006E3DA3"/>
    <w:rsid w:val="006E4068"/>
    <w:rsid w:val="006E5501"/>
    <w:rsid w:val="006E7C86"/>
    <w:rsid w:val="006E7CE6"/>
    <w:rsid w:val="006F2260"/>
    <w:rsid w:val="006F254D"/>
    <w:rsid w:val="006F5CFD"/>
    <w:rsid w:val="006F5DBF"/>
    <w:rsid w:val="006F7776"/>
    <w:rsid w:val="00700C13"/>
    <w:rsid w:val="00703B8B"/>
    <w:rsid w:val="0070443C"/>
    <w:rsid w:val="007062D0"/>
    <w:rsid w:val="00706455"/>
    <w:rsid w:val="00706601"/>
    <w:rsid w:val="00707C1E"/>
    <w:rsid w:val="00707F3D"/>
    <w:rsid w:val="00713248"/>
    <w:rsid w:val="00713DF8"/>
    <w:rsid w:val="007151E5"/>
    <w:rsid w:val="007176EF"/>
    <w:rsid w:val="00717AB7"/>
    <w:rsid w:val="00720C88"/>
    <w:rsid w:val="007238BA"/>
    <w:rsid w:val="00724764"/>
    <w:rsid w:val="00724AB7"/>
    <w:rsid w:val="00725F10"/>
    <w:rsid w:val="0073031C"/>
    <w:rsid w:val="00730D14"/>
    <w:rsid w:val="00731EDC"/>
    <w:rsid w:val="0073202C"/>
    <w:rsid w:val="00733B56"/>
    <w:rsid w:val="00734ABB"/>
    <w:rsid w:val="00735B9B"/>
    <w:rsid w:val="00735F7C"/>
    <w:rsid w:val="0073660A"/>
    <w:rsid w:val="00736B11"/>
    <w:rsid w:val="007375F3"/>
    <w:rsid w:val="00737DC9"/>
    <w:rsid w:val="007502AE"/>
    <w:rsid w:val="00750C98"/>
    <w:rsid w:val="00752DD7"/>
    <w:rsid w:val="00753AC9"/>
    <w:rsid w:val="00753AD2"/>
    <w:rsid w:val="00753D56"/>
    <w:rsid w:val="00754337"/>
    <w:rsid w:val="0075462F"/>
    <w:rsid w:val="00761291"/>
    <w:rsid w:val="00761D6A"/>
    <w:rsid w:val="00762642"/>
    <w:rsid w:val="00762A91"/>
    <w:rsid w:val="00765DC2"/>
    <w:rsid w:val="00767662"/>
    <w:rsid w:val="007701E2"/>
    <w:rsid w:val="0077093F"/>
    <w:rsid w:val="00771CB9"/>
    <w:rsid w:val="0077247D"/>
    <w:rsid w:val="00773030"/>
    <w:rsid w:val="007740AD"/>
    <w:rsid w:val="0077422B"/>
    <w:rsid w:val="007743BE"/>
    <w:rsid w:val="00775CDD"/>
    <w:rsid w:val="00777726"/>
    <w:rsid w:val="00777AB9"/>
    <w:rsid w:val="00777E43"/>
    <w:rsid w:val="00780401"/>
    <w:rsid w:val="00780758"/>
    <w:rsid w:val="00780C96"/>
    <w:rsid w:val="007814DC"/>
    <w:rsid w:val="00782495"/>
    <w:rsid w:val="00782966"/>
    <w:rsid w:val="00784AF3"/>
    <w:rsid w:val="007871A6"/>
    <w:rsid w:val="00787251"/>
    <w:rsid w:val="007876BD"/>
    <w:rsid w:val="00787CEE"/>
    <w:rsid w:val="00790B16"/>
    <w:rsid w:val="0079195A"/>
    <w:rsid w:val="00793E91"/>
    <w:rsid w:val="00794FC5"/>
    <w:rsid w:val="00797227"/>
    <w:rsid w:val="007A0A53"/>
    <w:rsid w:val="007A11FE"/>
    <w:rsid w:val="007A12B1"/>
    <w:rsid w:val="007A1533"/>
    <w:rsid w:val="007A4B5C"/>
    <w:rsid w:val="007A4BC5"/>
    <w:rsid w:val="007A4FA9"/>
    <w:rsid w:val="007A7AA1"/>
    <w:rsid w:val="007B1785"/>
    <w:rsid w:val="007B350D"/>
    <w:rsid w:val="007B3E92"/>
    <w:rsid w:val="007B5D32"/>
    <w:rsid w:val="007B647F"/>
    <w:rsid w:val="007B6AE9"/>
    <w:rsid w:val="007C0FD2"/>
    <w:rsid w:val="007C14B4"/>
    <w:rsid w:val="007C2339"/>
    <w:rsid w:val="007C25EF"/>
    <w:rsid w:val="007C455F"/>
    <w:rsid w:val="007C471E"/>
    <w:rsid w:val="007D0058"/>
    <w:rsid w:val="007D12D9"/>
    <w:rsid w:val="007D31AB"/>
    <w:rsid w:val="007D4361"/>
    <w:rsid w:val="007D52BB"/>
    <w:rsid w:val="007D5F19"/>
    <w:rsid w:val="007D6832"/>
    <w:rsid w:val="007D68D4"/>
    <w:rsid w:val="007D7281"/>
    <w:rsid w:val="007E055C"/>
    <w:rsid w:val="007E0F29"/>
    <w:rsid w:val="007E17FD"/>
    <w:rsid w:val="007E1B2F"/>
    <w:rsid w:val="007E1DC7"/>
    <w:rsid w:val="007E3566"/>
    <w:rsid w:val="007E3F78"/>
    <w:rsid w:val="007E7110"/>
    <w:rsid w:val="007F08F7"/>
    <w:rsid w:val="007F0B79"/>
    <w:rsid w:val="007F1D0A"/>
    <w:rsid w:val="007F311C"/>
    <w:rsid w:val="007F3B7A"/>
    <w:rsid w:val="007F7C04"/>
    <w:rsid w:val="00800789"/>
    <w:rsid w:val="00800CEB"/>
    <w:rsid w:val="0080226E"/>
    <w:rsid w:val="0080241C"/>
    <w:rsid w:val="00802976"/>
    <w:rsid w:val="00807468"/>
    <w:rsid w:val="00807F83"/>
    <w:rsid w:val="00810FA0"/>
    <w:rsid w:val="0081188B"/>
    <w:rsid w:val="0081311A"/>
    <w:rsid w:val="00813CC9"/>
    <w:rsid w:val="0082048B"/>
    <w:rsid w:val="0082462F"/>
    <w:rsid w:val="00826AC7"/>
    <w:rsid w:val="00826D96"/>
    <w:rsid w:val="00827883"/>
    <w:rsid w:val="008303AF"/>
    <w:rsid w:val="008309DF"/>
    <w:rsid w:val="008318B1"/>
    <w:rsid w:val="00832C63"/>
    <w:rsid w:val="00833404"/>
    <w:rsid w:val="00833528"/>
    <w:rsid w:val="00836826"/>
    <w:rsid w:val="00837960"/>
    <w:rsid w:val="00840DF5"/>
    <w:rsid w:val="00841E5A"/>
    <w:rsid w:val="00844655"/>
    <w:rsid w:val="00845255"/>
    <w:rsid w:val="00846876"/>
    <w:rsid w:val="00846A6F"/>
    <w:rsid w:val="00847201"/>
    <w:rsid w:val="00847C97"/>
    <w:rsid w:val="00847E9A"/>
    <w:rsid w:val="00852CE9"/>
    <w:rsid w:val="00854174"/>
    <w:rsid w:val="00854265"/>
    <w:rsid w:val="008544DE"/>
    <w:rsid w:val="00855CC2"/>
    <w:rsid w:val="008606A7"/>
    <w:rsid w:val="008619E9"/>
    <w:rsid w:val="00861BB6"/>
    <w:rsid w:val="00862080"/>
    <w:rsid w:val="008620CE"/>
    <w:rsid w:val="00862734"/>
    <w:rsid w:val="0086300E"/>
    <w:rsid w:val="008637CB"/>
    <w:rsid w:val="00864BFB"/>
    <w:rsid w:val="00865C95"/>
    <w:rsid w:val="008666A2"/>
    <w:rsid w:val="00866ACB"/>
    <w:rsid w:val="00867A98"/>
    <w:rsid w:val="0087113D"/>
    <w:rsid w:val="00871272"/>
    <w:rsid w:val="008714AD"/>
    <w:rsid w:val="00871D0B"/>
    <w:rsid w:val="0087264C"/>
    <w:rsid w:val="00874A2E"/>
    <w:rsid w:val="008752E7"/>
    <w:rsid w:val="0087693B"/>
    <w:rsid w:val="008813A1"/>
    <w:rsid w:val="00882F20"/>
    <w:rsid w:val="0088414D"/>
    <w:rsid w:val="00885694"/>
    <w:rsid w:val="00890841"/>
    <w:rsid w:val="008927BE"/>
    <w:rsid w:val="00892B5A"/>
    <w:rsid w:val="00894F6F"/>
    <w:rsid w:val="008953BA"/>
    <w:rsid w:val="0089563E"/>
    <w:rsid w:val="00896C37"/>
    <w:rsid w:val="00896CE1"/>
    <w:rsid w:val="008970A2"/>
    <w:rsid w:val="008A0544"/>
    <w:rsid w:val="008A0879"/>
    <w:rsid w:val="008A23C2"/>
    <w:rsid w:val="008A2611"/>
    <w:rsid w:val="008A54E0"/>
    <w:rsid w:val="008A62FA"/>
    <w:rsid w:val="008B1966"/>
    <w:rsid w:val="008B1ACA"/>
    <w:rsid w:val="008B6273"/>
    <w:rsid w:val="008C0785"/>
    <w:rsid w:val="008C1B27"/>
    <w:rsid w:val="008C22BD"/>
    <w:rsid w:val="008C2727"/>
    <w:rsid w:val="008C2C63"/>
    <w:rsid w:val="008C3414"/>
    <w:rsid w:val="008C48FE"/>
    <w:rsid w:val="008C5211"/>
    <w:rsid w:val="008C60C3"/>
    <w:rsid w:val="008C6586"/>
    <w:rsid w:val="008C65DE"/>
    <w:rsid w:val="008C7AA7"/>
    <w:rsid w:val="008C7B6A"/>
    <w:rsid w:val="008C7E5B"/>
    <w:rsid w:val="008D112A"/>
    <w:rsid w:val="008D1854"/>
    <w:rsid w:val="008D3C51"/>
    <w:rsid w:val="008D5119"/>
    <w:rsid w:val="008D6D95"/>
    <w:rsid w:val="008D7D00"/>
    <w:rsid w:val="008E177C"/>
    <w:rsid w:val="008E2474"/>
    <w:rsid w:val="008E2D63"/>
    <w:rsid w:val="008E4FE7"/>
    <w:rsid w:val="008E5F7F"/>
    <w:rsid w:val="008E60D8"/>
    <w:rsid w:val="008E6773"/>
    <w:rsid w:val="008E6982"/>
    <w:rsid w:val="008E78A5"/>
    <w:rsid w:val="008F12D6"/>
    <w:rsid w:val="008F2342"/>
    <w:rsid w:val="008F5ACC"/>
    <w:rsid w:val="008F636B"/>
    <w:rsid w:val="00900975"/>
    <w:rsid w:val="00901671"/>
    <w:rsid w:val="00902DD7"/>
    <w:rsid w:val="009034EC"/>
    <w:rsid w:val="009056CD"/>
    <w:rsid w:val="00905A75"/>
    <w:rsid w:val="009062FD"/>
    <w:rsid w:val="0090646C"/>
    <w:rsid w:val="009069C6"/>
    <w:rsid w:val="009070F2"/>
    <w:rsid w:val="009101AA"/>
    <w:rsid w:val="009108DC"/>
    <w:rsid w:val="00910913"/>
    <w:rsid w:val="0091169A"/>
    <w:rsid w:val="00915701"/>
    <w:rsid w:val="009157FC"/>
    <w:rsid w:val="00916739"/>
    <w:rsid w:val="00916FFD"/>
    <w:rsid w:val="00917950"/>
    <w:rsid w:val="00920AA7"/>
    <w:rsid w:val="00921DD3"/>
    <w:rsid w:val="00924B6E"/>
    <w:rsid w:val="00924B7E"/>
    <w:rsid w:val="00924BD8"/>
    <w:rsid w:val="00924D94"/>
    <w:rsid w:val="00931756"/>
    <w:rsid w:val="00931B30"/>
    <w:rsid w:val="00932178"/>
    <w:rsid w:val="00932379"/>
    <w:rsid w:val="0093534D"/>
    <w:rsid w:val="009374A7"/>
    <w:rsid w:val="0093775C"/>
    <w:rsid w:val="00937B78"/>
    <w:rsid w:val="0094052F"/>
    <w:rsid w:val="00940B99"/>
    <w:rsid w:val="0094129D"/>
    <w:rsid w:val="00941DA6"/>
    <w:rsid w:val="00942CC2"/>
    <w:rsid w:val="0094374A"/>
    <w:rsid w:val="00943AA7"/>
    <w:rsid w:val="00943C37"/>
    <w:rsid w:val="0094412A"/>
    <w:rsid w:val="00944990"/>
    <w:rsid w:val="00944EAD"/>
    <w:rsid w:val="009450AB"/>
    <w:rsid w:val="00945BA0"/>
    <w:rsid w:val="009460D2"/>
    <w:rsid w:val="00946BEB"/>
    <w:rsid w:val="00947AC1"/>
    <w:rsid w:val="00950EE2"/>
    <w:rsid w:val="0095349E"/>
    <w:rsid w:val="009547E4"/>
    <w:rsid w:val="00954960"/>
    <w:rsid w:val="00955929"/>
    <w:rsid w:val="00955A9D"/>
    <w:rsid w:val="0095621F"/>
    <w:rsid w:val="009600E3"/>
    <w:rsid w:val="009606C9"/>
    <w:rsid w:val="00961306"/>
    <w:rsid w:val="00964714"/>
    <w:rsid w:val="0096573C"/>
    <w:rsid w:val="0096591A"/>
    <w:rsid w:val="00965C04"/>
    <w:rsid w:val="009662E8"/>
    <w:rsid w:val="00966722"/>
    <w:rsid w:val="0096712F"/>
    <w:rsid w:val="00967C72"/>
    <w:rsid w:val="00971185"/>
    <w:rsid w:val="0097131B"/>
    <w:rsid w:val="00971330"/>
    <w:rsid w:val="00972AF0"/>
    <w:rsid w:val="00974EA4"/>
    <w:rsid w:val="009759E1"/>
    <w:rsid w:val="00975F12"/>
    <w:rsid w:val="00977814"/>
    <w:rsid w:val="00980E07"/>
    <w:rsid w:val="0098126C"/>
    <w:rsid w:val="00981506"/>
    <w:rsid w:val="00981FFC"/>
    <w:rsid w:val="00984AC3"/>
    <w:rsid w:val="00985704"/>
    <w:rsid w:val="009870C3"/>
    <w:rsid w:val="009911E4"/>
    <w:rsid w:val="00991A50"/>
    <w:rsid w:val="0099212A"/>
    <w:rsid w:val="009930A6"/>
    <w:rsid w:val="0099337A"/>
    <w:rsid w:val="00996051"/>
    <w:rsid w:val="009970D2"/>
    <w:rsid w:val="009A095D"/>
    <w:rsid w:val="009A09BE"/>
    <w:rsid w:val="009A1678"/>
    <w:rsid w:val="009A2760"/>
    <w:rsid w:val="009A5096"/>
    <w:rsid w:val="009B1567"/>
    <w:rsid w:val="009B3412"/>
    <w:rsid w:val="009B3755"/>
    <w:rsid w:val="009B647E"/>
    <w:rsid w:val="009B754C"/>
    <w:rsid w:val="009B75DF"/>
    <w:rsid w:val="009B7AE4"/>
    <w:rsid w:val="009B7D90"/>
    <w:rsid w:val="009C0CF9"/>
    <w:rsid w:val="009C3613"/>
    <w:rsid w:val="009C374C"/>
    <w:rsid w:val="009C75E2"/>
    <w:rsid w:val="009D02EE"/>
    <w:rsid w:val="009D42E0"/>
    <w:rsid w:val="009D64A6"/>
    <w:rsid w:val="009D6749"/>
    <w:rsid w:val="009D69EC"/>
    <w:rsid w:val="009D77BD"/>
    <w:rsid w:val="009E236A"/>
    <w:rsid w:val="009E3137"/>
    <w:rsid w:val="009E32AA"/>
    <w:rsid w:val="009E35DC"/>
    <w:rsid w:val="009E42AE"/>
    <w:rsid w:val="009E4568"/>
    <w:rsid w:val="009E5F49"/>
    <w:rsid w:val="009E6966"/>
    <w:rsid w:val="009E7E09"/>
    <w:rsid w:val="009E7EF6"/>
    <w:rsid w:val="009F1BF3"/>
    <w:rsid w:val="009F35A9"/>
    <w:rsid w:val="009F5831"/>
    <w:rsid w:val="00A00042"/>
    <w:rsid w:val="00A00692"/>
    <w:rsid w:val="00A00D26"/>
    <w:rsid w:val="00A017E9"/>
    <w:rsid w:val="00A02495"/>
    <w:rsid w:val="00A02EB8"/>
    <w:rsid w:val="00A02F3C"/>
    <w:rsid w:val="00A03560"/>
    <w:rsid w:val="00A10754"/>
    <w:rsid w:val="00A11B1C"/>
    <w:rsid w:val="00A13B82"/>
    <w:rsid w:val="00A1518C"/>
    <w:rsid w:val="00A151D2"/>
    <w:rsid w:val="00A1563B"/>
    <w:rsid w:val="00A16035"/>
    <w:rsid w:val="00A1609F"/>
    <w:rsid w:val="00A160AA"/>
    <w:rsid w:val="00A201C3"/>
    <w:rsid w:val="00A210C5"/>
    <w:rsid w:val="00A215B0"/>
    <w:rsid w:val="00A21DBF"/>
    <w:rsid w:val="00A23D40"/>
    <w:rsid w:val="00A25AE8"/>
    <w:rsid w:val="00A26184"/>
    <w:rsid w:val="00A2644C"/>
    <w:rsid w:val="00A26775"/>
    <w:rsid w:val="00A27269"/>
    <w:rsid w:val="00A30473"/>
    <w:rsid w:val="00A310BD"/>
    <w:rsid w:val="00A35365"/>
    <w:rsid w:val="00A36FFA"/>
    <w:rsid w:val="00A37893"/>
    <w:rsid w:val="00A40195"/>
    <w:rsid w:val="00A405DF"/>
    <w:rsid w:val="00A43B7A"/>
    <w:rsid w:val="00A45605"/>
    <w:rsid w:val="00A46255"/>
    <w:rsid w:val="00A469A8"/>
    <w:rsid w:val="00A4709B"/>
    <w:rsid w:val="00A47F3E"/>
    <w:rsid w:val="00A526E0"/>
    <w:rsid w:val="00A54F78"/>
    <w:rsid w:val="00A5763E"/>
    <w:rsid w:val="00A6030C"/>
    <w:rsid w:val="00A60861"/>
    <w:rsid w:val="00A608A5"/>
    <w:rsid w:val="00A60C44"/>
    <w:rsid w:val="00A60F00"/>
    <w:rsid w:val="00A61849"/>
    <w:rsid w:val="00A61F17"/>
    <w:rsid w:val="00A61FB0"/>
    <w:rsid w:val="00A64A86"/>
    <w:rsid w:val="00A658A6"/>
    <w:rsid w:val="00A66734"/>
    <w:rsid w:val="00A678F2"/>
    <w:rsid w:val="00A71E84"/>
    <w:rsid w:val="00A736DE"/>
    <w:rsid w:val="00A7566E"/>
    <w:rsid w:val="00A75AF9"/>
    <w:rsid w:val="00A765B4"/>
    <w:rsid w:val="00A77A28"/>
    <w:rsid w:val="00A77AC5"/>
    <w:rsid w:val="00A80716"/>
    <w:rsid w:val="00A839EF"/>
    <w:rsid w:val="00A84BA1"/>
    <w:rsid w:val="00A85F83"/>
    <w:rsid w:val="00A86075"/>
    <w:rsid w:val="00A86B8B"/>
    <w:rsid w:val="00A917FD"/>
    <w:rsid w:val="00A92259"/>
    <w:rsid w:val="00A93089"/>
    <w:rsid w:val="00A93099"/>
    <w:rsid w:val="00A941B3"/>
    <w:rsid w:val="00A97DBB"/>
    <w:rsid w:val="00AA224F"/>
    <w:rsid w:val="00AA2D89"/>
    <w:rsid w:val="00AA3119"/>
    <w:rsid w:val="00AA5EDE"/>
    <w:rsid w:val="00AB3795"/>
    <w:rsid w:val="00AB452F"/>
    <w:rsid w:val="00AB4997"/>
    <w:rsid w:val="00AB656E"/>
    <w:rsid w:val="00AB77EE"/>
    <w:rsid w:val="00AC0161"/>
    <w:rsid w:val="00AC081A"/>
    <w:rsid w:val="00AC1D5F"/>
    <w:rsid w:val="00AC22BA"/>
    <w:rsid w:val="00AC3939"/>
    <w:rsid w:val="00AC4258"/>
    <w:rsid w:val="00AD1F1F"/>
    <w:rsid w:val="00AD32B9"/>
    <w:rsid w:val="00AD56D5"/>
    <w:rsid w:val="00AD65C8"/>
    <w:rsid w:val="00AE0C4A"/>
    <w:rsid w:val="00AE1A1C"/>
    <w:rsid w:val="00AE22A1"/>
    <w:rsid w:val="00AE27FF"/>
    <w:rsid w:val="00AE2B27"/>
    <w:rsid w:val="00AE2E77"/>
    <w:rsid w:val="00AE3A48"/>
    <w:rsid w:val="00AE75D0"/>
    <w:rsid w:val="00AE79FA"/>
    <w:rsid w:val="00AF1A40"/>
    <w:rsid w:val="00AF1C4B"/>
    <w:rsid w:val="00AF21CB"/>
    <w:rsid w:val="00AF2D33"/>
    <w:rsid w:val="00AF2E02"/>
    <w:rsid w:val="00AF4795"/>
    <w:rsid w:val="00AF4F08"/>
    <w:rsid w:val="00B00A75"/>
    <w:rsid w:val="00B00DE1"/>
    <w:rsid w:val="00B00FB7"/>
    <w:rsid w:val="00B02617"/>
    <w:rsid w:val="00B026D0"/>
    <w:rsid w:val="00B02936"/>
    <w:rsid w:val="00B06708"/>
    <w:rsid w:val="00B06D90"/>
    <w:rsid w:val="00B06DDE"/>
    <w:rsid w:val="00B108CE"/>
    <w:rsid w:val="00B10BFD"/>
    <w:rsid w:val="00B11255"/>
    <w:rsid w:val="00B12434"/>
    <w:rsid w:val="00B133B0"/>
    <w:rsid w:val="00B1376B"/>
    <w:rsid w:val="00B13CC2"/>
    <w:rsid w:val="00B15080"/>
    <w:rsid w:val="00B15688"/>
    <w:rsid w:val="00B15E02"/>
    <w:rsid w:val="00B16EC1"/>
    <w:rsid w:val="00B20CC2"/>
    <w:rsid w:val="00B21F2A"/>
    <w:rsid w:val="00B23AFB"/>
    <w:rsid w:val="00B23C81"/>
    <w:rsid w:val="00B2422B"/>
    <w:rsid w:val="00B25EB3"/>
    <w:rsid w:val="00B26DAF"/>
    <w:rsid w:val="00B26F57"/>
    <w:rsid w:val="00B30535"/>
    <w:rsid w:val="00B30760"/>
    <w:rsid w:val="00B33610"/>
    <w:rsid w:val="00B36282"/>
    <w:rsid w:val="00B37C27"/>
    <w:rsid w:val="00B37F14"/>
    <w:rsid w:val="00B414B0"/>
    <w:rsid w:val="00B42C3C"/>
    <w:rsid w:val="00B433D7"/>
    <w:rsid w:val="00B43636"/>
    <w:rsid w:val="00B43D53"/>
    <w:rsid w:val="00B43FD5"/>
    <w:rsid w:val="00B538E7"/>
    <w:rsid w:val="00B5407B"/>
    <w:rsid w:val="00B54194"/>
    <w:rsid w:val="00B546A9"/>
    <w:rsid w:val="00B547D7"/>
    <w:rsid w:val="00B563B9"/>
    <w:rsid w:val="00B575D1"/>
    <w:rsid w:val="00B610F0"/>
    <w:rsid w:val="00B61345"/>
    <w:rsid w:val="00B613D3"/>
    <w:rsid w:val="00B61F67"/>
    <w:rsid w:val="00B63705"/>
    <w:rsid w:val="00B6454C"/>
    <w:rsid w:val="00B6535C"/>
    <w:rsid w:val="00B719F7"/>
    <w:rsid w:val="00B71ACF"/>
    <w:rsid w:val="00B72E7F"/>
    <w:rsid w:val="00B73626"/>
    <w:rsid w:val="00B7375E"/>
    <w:rsid w:val="00B76675"/>
    <w:rsid w:val="00B76A22"/>
    <w:rsid w:val="00B76FEF"/>
    <w:rsid w:val="00B77061"/>
    <w:rsid w:val="00B77AA4"/>
    <w:rsid w:val="00B77C95"/>
    <w:rsid w:val="00B81754"/>
    <w:rsid w:val="00B846C4"/>
    <w:rsid w:val="00B8592C"/>
    <w:rsid w:val="00B87F89"/>
    <w:rsid w:val="00B90273"/>
    <w:rsid w:val="00B90277"/>
    <w:rsid w:val="00B911D1"/>
    <w:rsid w:val="00B926D7"/>
    <w:rsid w:val="00B952A3"/>
    <w:rsid w:val="00B9658E"/>
    <w:rsid w:val="00B966E4"/>
    <w:rsid w:val="00B970B3"/>
    <w:rsid w:val="00B9710B"/>
    <w:rsid w:val="00B97582"/>
    <w:rsid w:val="00B97901"/>
    <w:rsid w:val="00BA008F"/>
    <w:rsid w:val="00BA0ED2"/>
    <w:rsid w:val="00BA1142"/>
    <w:rsid w:val="00BA19E4"/>
    <w:rsid w:val="00BA1DBD"/>
    <w:rsid w:val="00BA2D29"/>
    <w:rsid w:val="00BA7460"/>
    <w:rsid w:val="00BA74D3"/>
    <w:rsid w:val="00BB3C20"/>
    <w:rsid w:val="00BB4E66"/>
    <w:rsid w:val="00BC1619"/>
    <w:rsid w:val="00BC1700"/>
    <w:rsid w:val="00BC221E"/>
    <w:rsid w:val="00BC31DB"/>
    <w:rsid w:val="00BC3385"/>
    <w:rsid w:val="00BC3F05"/>
    <w:rsid w:val="00BC5BA9"/>
    <w:rsid w:val="00BC5DFC"/>
    <w:rsid w:val="00BC65E5"/>
    <w:rsid w:val="00BD0011"/>
    <w:rsid w:val="00BD0118"/>
    <w:rsid w:val="00BD0262"/>
    <w:rsid w:val="00BD1593"/>
    <w:rsid w:val="00BD3BB2"/>
    <w:rsid w:val="00BD6426"/>
    <w:rsid w:val="00BD7616"/>
    <w:rsid w:val="00BD7D23"/>
    <w:rsid w:val="00BE0063"/>
    <w:rsid w:val="00BE152E"/>
    <w:rsid w:val="00BE38A2"/>
    <w:rsid w:val="00BE44F7"/>
    <w:rsid w:val="00BF1279"/>
    <w:rsid w:val="00BF207E"/>
    <w:rsid w:val="00BF210F"/>
    <w:rsid w:val="00BF3125"/>
    <w:rsid w:val="00BF4C32"/>
    <w:rsid w:val="00BF680D"/>
    <w:rsid w:val="00BF6F72"/>
    <w:rsid w:val="00BF75B3"/>
    <w:rsid w:val="00C00B87"/>
    <w:rsid w:val="00C01C48"/>
    <w:rsid w:val="00C02AA8"/>
    <w:rsid w:val="00C02F8D"/>
    <w:rsid w:val="00C032AB"/>
    <w:rsid w:val="00C036AB"/>
    <w:rsid w:val="00C03BCE"/>
    <w:rsid w:val="00C044CC"/>
    <w:rsid w:val="00C06DE4"/>
    <w:rsid w:val="00C06FA1"/>
    <w:rsid w:val="00C11C0B"/>
    <w:rsid w:val="00C127C1"/>
    <w:rsid w:val="00C14DB6"/>
    <w:rsid w:val="00C14E3D"/>
    <w:rsid w:val="00C20F2F"/>
    <w:rsid w:val="00C2142C"/>
    <w:rsid w:val="00C2253C"/>
    <w:rsid w:val="00C22FA4"/>
    <w:rsid w:val="00C23BC2"/>
    <w:rsid w:val="00C24CE7"/>
    <w:rsid w:val="00C24F64"/>
    <w:rsid w:val="00C30522"/>
    <w:rsid w:val="00C31092"/>
    <w:rsid w:val="00C32254"/>
    <w:rsid w:val="00C32B9D"/>
    <w:rsid w:val="00C33006"/>
    <w:rsid w:val="00C34A9E"/>
    <w:rsid w:val="00C34E54"/>
    <w:rsid w:val="00C36058"/>
    <w:rsid w:val="00C3625C"/>
    <w:rsid w:val="00C369FA"/>
    <w:rsid w:val="00C37156"/>
    <w:rsid w:val="00C371B0"/>
    <w:rsid w:val="00C37D84"/>
    <w:rsid w:val="00C4090E"/>
    <w:rsid w:val="00C418D1"/>
    <w:rsid w:val="00C42195"/>
    <w:rsid w:val="00C42D0C"/>
    <w:rsid w:val="00C4369F"/>
    <w:rsid w:val="00C43859"/>
    <w:rsid w:val="00C43908"/>
    <w:rsid w:val="00C466E1"/>
    <w:rsid w:val="00C4691D"/>
    <w:rsid w:val="00C46D05"/>
    <w:rsid w:val="00C47AD2"/>
    <w:rsid w:val="00C50C08"/>
    <w:rsid w:val="00C512D2"/>
    <w:rsid w:val="00C52940"/>
    <w:rsid w:val="00C52D68"/>
    <w:rsid w:val="00C52DB9"/>
    <w:rsid w:val="00C541FB"/>
    <w:rsid w:val="00C55F52"/>
    <w:rsid w:val="00C560CE"/>
    <w:rsid w:val="00C563DC"/>
    <w:rsid w:val="00C56419"/>
    <w:rsid w:val="00C57648"/>
    <w:rsid w:val="00C57A56"/>
    <w:rsid w:val="00C57DAC"/>
    <w:rsid w:val="00C62193"/>
    <w:rsid w:val="00C63555"/>
    <w:rsid w:val="00C63EB5"/>
    <w:rsid w:val="00C66290"/>
    <w:rsid w:val="00C66FF8"/>
    <w:rsid w:val="00C67D8B"/>
    <w:rsid w:val="00C70350"/>
    <w:rsid w:val="00C708CC"/>
    <w:rsid w:val="00C70E1F"/>
    <w:rsid w:val="00C71117"/>
    <w:rsid w:val="00C81421"/>
    <w:rsid w:val="00C81444"/>
    <w:rsid w:val="00C8202A"/>
    <w:rsid w:val="00C83216"/>
    <w:rsid w:val="00C8337E"/>
    <w:rsid w:val="00C8439A"/>
    <w:rsid w:val="00C846AA"/>
    <w:rsid w:val="00C84FBA"/>
    <w:rsid w:val="00C8758B"/>
    <w:rsid w:val="00C876ED"/>
    <w:rsid w:val="00C90886"/>
    <w:rsid w:val="00C938E7"/>
    <w:rsid w:val="00C973C6"/>
    <w:rsid w:val="00CA4A14"/>
    <w:rsid w:val="00CA4B73"/>
    <w:rsid w:val="00CA4D1B"/>
    <w:rsid w:val="00CA5028"/>
    <w:rsid w:val="00CA55D5"/>
    <w:rsid w:val="00CA67DD"/>
    <w:rsid w:val="00CA799A"/>
    <w:rsid w:val="00CB07B5"/>
    <w:rsid w:val="00CB176A"/>
    <w:rsid w:val="00CB1857"/>
    <w:rsid w:val="00CB1C11"/>
    <w:rsid w:val="00CB2052"/>
    <w:rsid w:val="00CB2A11"/>
    <w:rsid w:val="00CB407A"/>
    <w:rsid w:val="00CB502A"/>
    <w:rsid w:val="00CB5A87"/>
    <w:rsid w:val="00CB754A"/>
    <w:rsid w:val="00CC1ECA"/>
    <w:rsid w:val="00CC1F2F"/>
    <w:rsid w:val="00CC230F"/>
    <w:rsid w:val="00CC2604"/>
    <w:rsid w:val="00CC406A"/>
    <w:rsid w:val="00CC4E78"/>
    <w:rsid w:val="00CC6E70"/>
    <w:rsid w:val="00CD1139"/>
    <w:rsid w:val="00CD132B"/>
    <w:rsid w:val="00CD2A15"/>
    <w:rsid w:val="00CD2C85"/>
    <w:rsid w:val="00CD31FA"/>
    <w:rsid w:val="00CD3A06"/>
    <w:rsid w:val="00CD3E78"/>
    <w:rsid w:val="00CD544A"/>
    <w:rsid w:val="00CD76FC"/>
    <w:rsid w:val="00CE09F3"/>
    <w:rsid w:val="00CE1430"/>
    <w:rsid w:val="00CE161F"/>
    <w:rsid w:val="00CE17A8"/>
    <w:rsid w:val="00CE2404"/>
    <w:rsid w:val="00CE2612"/>
    <w:rsid w:val="00CE265F"/>
    <w:rsid w:val="00CE287C"/>
    <w:rsid w:val="00CE2E83"/>
    <w:rsid w:val="00CE5078"/>
    <w:rsid w:val="00CE5ECC"/>
    <w:rsid w:val="00CE6A9C"/>
    <w:rsid w:val="00CE6C02"/>
    <w:rsid w:val="00CE6DB6"/>
    <w:rsid w:val="00CE73C3"/>
    <w:rsid w:val="00CE750E"/>
    <w:rsid w:val="00CE7811"/>
    <w:rsid w:val="00CE7D45"/>
    <w:rsid w:val="00CF3076"/>
    <w:rsid w:val="00CF47A7"/>
    <w:rsid w:val="00CF48AB"/>
    <w:rsid w:val="00CF76E0"/>
    <w:rsid w:val="00D005EE"/>
    <w:rsid w:val="00D015FD"/>
    <w:rsid w:val="00D0421C"/>
    <w:rsid w:val="00D0639D"/>
    <w:rsid w:val="00D10B10"/>
    <w:rsid w:val="00D12F40"/>
    <w:rsid w:val="00D149CA"/>
    <w:rsid w:val="00D14F53"/>
    <w:rsid w:val="00D1590F"/>
    <w:rsid w:val="00D15ECF"/>
    <w:rsid w:val="00D20D70"/>
    <w:rsid w:val="00D21184"/>
    <w:rsid w:val="00D21EBF"/>
    <w:rsid w:val="00D232C5"/>
    <w:rsid w:val="00D241C9"/>
    <w:rsid w:val="00D2431A"/>
    <w:rsid w:val="00D257DA"/>
    <w:rsid w:val="00D27724"/>
    <w:rsid w:val="00D32500"/>
    <w:rsid w:val="00D32AC5"/>
    <w:rsid w:val="00D33A8C"/>
    <w:rsid w:val="00D36301"/>
    <w:rsid w:val="00D407E3"/>
    <w:rsid w:val="00D42D21"/>
    <w:rsid w:val="00D43B8D"/>
    <w:rsid w:val="00D441E3"/>
    <w:rsid w:val="00D44208"/>
    <w:rsid w:val="00D47C60"/>
    <w:rsid w:val="00D51A8E"/>
    <w:rsid w:val="00D525B5"/>
    <w:rsid w:val="00D527C6"/>
    <w:rsid w:val="00D52A1E"/>
    <w:rsid w:val="00D53034"/>
    <w:rsid w:val="00D534FF"/>
    <w:rsid w:val="00D55CD2"/>
    <w:rsid w:val="00D56440"/>
    <w:rsid w:val="00D569A4"/>
    <w:rsid w:val="00D56D7A"/>
    <w:rsid w:val="00D57083"/>
    <w:rsid w:val="00D5769E"/>
    <w:rsid w:val="00D57C90"/>
    <w:rsid w:val="00D62524"/>
    <w:rsid w:val="00D633F1"/>
    <w:rsid w:val="00D63F96"/>
    <w:rsid w:val="00D6586B"/>
    <w:rsid w:val="00D65DE1"/>
    <w:rsid w:val="00D666B4"/>
    <w:rsid w:val="00D67821"/>
    <w:rsid w:val="00D70746"/>
    <w:rsid w:val="00D71144"/>
    <w:rsid w:val="00D71522"/>
    <w:rsid w:val="00D71E83"/>
    <w:rsid w:val="00D72EB1"/>
    <w:rsid w:val="00D73284"/>
    <w:rsid w:val="00D74425"/>
    <w:rsid w:val="00D7499C"/>
    <w:rsid w:val="00D74A83"/>
    <w:rsid w:val="00D74E76"/>
    <w:rsid w:val="00D752F7"/>
    <w:rsid w:val="00D754A3"/>
    <w:rsid w:val="00D76898"/>
    <w:rsid w:val="00D77878"/>
    <w:rsid w:val="00D77CDF"/>
    <w:rsid w:val="00D77DF5"/>
    <w:rsid w:val="00D8056A"/>
    <w:rsid w:val="00D821EE"/>
    <w:rsid w:val="00D84711"/>
    <w:rsid w:val="00D84B74"/>
    <w:rsid w:val="00D87798"/>
    <w:rsid w:val="00D912A1"/>
    <w:rsid w:val="00D915F0"/>
    <w:rsid w:val="00D92EEB"/>
    <w:rsid w:val="00D96EB1"/>
    <w:rsid w:val="00D977F3"/>
    <w:rsid w:val="00D97D5D"/>
    <w:rsid w:val="00DA000E"/>
    <w:rsid w:val="00DA0A78"/>
    <w:rsid w:val="00DA3AB5"/>
    <w:rsid w:val="00DA5485"/>
    <w:rsid w:val="00DA64F9"/>
    <w:rsid w:val="00DA7F01"/>
    <w:rsid w:val="00DB0841"/>
    <w:rsid w:val="00DB2C09"/>
    <w:rsid w:val="00DB33B3"/>
    <w:rsid w:val="00DB347C"/>
    <w:rsid w:val="00DB42AA"/>
    <w:rsid w:val="00DB5FB0"/>
    <w:rsid w:val="00DB6762"/>
    <w:rsid w:val="00DB69E8"/>
    <w:rsid w:val="00DB7DA8"/>
    <w:rsid w:val="00DC0C72"/>
    <w:rsid w:val="00DC0DAB"/>
    <w:rsid w:val="00DC3E10"/>
    <w:rsid w:val="00DC42BF"/>
    <w:rsid w:val="00DC42EE"/>
    <w:rsid w:val="00DC64C7"/>
    <w:rsid w:val="00DD10AC"/>
    <w:rsid w:val="00DD11C5"/>
    <w:rsid w:val="00DD2E80"/>
    <w:rsid w:val="00DD3470"/>
    <w:rsid w:val="00DD4B78"/>
    <w:rsid w:val="00DD4DE6"/>
    <w:rsid w:val="00DD5132"/>
    <w:rsid w:val="00DD60D4"/>
    <w:rsid w:val="00DD6DBC"/>
    <w:rsid w:val="00DD73AA"/>
    <w:rsid w:val="00DE020C"/>
    <w:rsid w:val="00DE0EB7"/>
    <w:rsid w:val="00DE1006"/>
    <w:rsid w:val="00DE48BE"/>
    <w:rsid w:val="00DE4DC2"/>
    <w:rsid w:val="00DE6362"/>
    <w:rsid w:val="00DE7F6D"/>
    <w:rsid w:val="00DF1E33"/>
    <w:rsid w:val="00DF31FE"/>
    <w:rsid w:val="00DF4CAB"/>
    <w:rsid w:val="00DF52DE"/>
    <w:rsid w:val="00DF58FD"/>
    <w:rsid w:val="00DF7BF6"/>
    <w:rsid w:val="00DF7E0E"/>
    <w:rsid w:val="00E0076B"/>
    <w:rsid w:val="00E01474"/>
    <w:rsid w:val="00E02D5F"/>
    <w:rsid w:val="00E03159"/>
    <w:rsid w:val="00E04C3F"/>
    <w:rsid w:val="00E0640E"/>
    <w:rsid w:val="00E0683E"/>
    <w:rsid w:val="00E06D3B"/>
    <w:rsid w:val="00E07253"/>
    <w:rsid w:val="00E1297A"/>
    <w:rsid w:val="00E21503"/>
    <w:rsid w:val="00E2168F"/>
    <w:rsid w:val="00E21985"/>
    <w:rsid w:val="00E22701"/>
    <w:rsid w:val="00E23041"/>
    <w:rsid w:val="00E232B0"/>
    <w:rsid w:val="00E23990"/>
    <w:rsid w:val="00E256E4"/>
    <w:rsid w:val="00E25B40"/>
    <w:rsid w:val="00E25C92"/>
    <w:rsid w:val="00E2641C"/>
    <w:rsid w:val="00E26EAA"/>
    <w:rsid w:val="00E30F90"/>
    <w:rsid w:val="00E311A3"/>
    <w:rsid w:val="00E31FDA"/>
    <w:rsid w:val="00E379A0"/>
    <w:rsid w:val="00E45AE1"/>
    <w:rsid w:val="00E46704"/>
    <w:rsid w:val="00E46D10"/>
    <w:rsid w:val="00E47D13"/>
    <w:rsid w:val="00E5003F"/>
    <w:rsid w:val="00E50787"/>
    <w:rsid w:val="00E50DE8"/>
    <w:rsid w:val="00E51125"/>
    <w:rsid w:val="00E512AF"/>
    <w:rsid w:val="00E521B5"/>
    <w:rsid w:val="00E526E0"/>
    <w:rsid w:val="00E52A3D"/>
    <w:rsid w:val="00E54815"/>
    <w:rsid w:val="00E5503C"/>
    <w:rsid w:val="00E55DD2"/>
    <w:rsid w:val="00E55FB1"/>
    <w:rsid w:val="00E55FE6"/>
    <w:rsid w:val="00E56A96"/>
    <w:rsid w:val="00E6143C"/>
    <w:rsid w:val="00E62DC2"/>
    <w:rsid w:val="00E63217"/>
    <w:rsid w:val="00E633A7"/>
    <w:rsid w:val="00E63DD6"/>
    <w:rsid w:val="00E64D1B"/>
    <w:rsid w:val="00E657BF"/>
    <w:rsid w:val="00E66BB2"/>
    <w:rsid w:val="00E671B3"/>
    <w:rsid w:val="00E70261"/>
    <w:rsid w:val="00E71DDF"/>
    <w:rsid w:val="00E73CF0"/>
    <w:rsid w:val="00E73EBE"/>
    <w:rsid w:val="00E73F84"/>
    <w:rsid w:val="00E75267"/>
    <w:rsid w:val="00E75A63"/>
    <w:rsid w:val="00E77FA8"/>
    <w:rsid w:val="00E81142"/>
    <w:rsid w:val="00E8242F"/>
    <w:rsid w:val="00E83B51"/>
    <w:rsid w:val="00E84096"/>
    <w:rsid w:val="00E861B6"/>
    <w:rsid w:val="00E86E88"/>
    <w:rsid w:val="00E904E0"/>
    <w:rsid w:val="00E90615"/>
    <w:rsid w:val="00E9081D"/>
    <w:rsid w:val="00E91EFC"/>
    <w:rsid w:val="00E945BD"/>
    <w:rsid w:val="00E96D01"/>
    <w:rsid w:val="00E9772C"/>
    <w:rsid w:val="00EA0E27"/>
    <w:rsid w:val="00EA116F"/>
    <w:rsid w:val="00EA12DC"/>
    <w:rsid w:val="00EA1C49"/>
    <w:rsid w:val="00EA305C"/>
    <w:rsid w:val="00EA39C5"/>
    <w:rsid w:val="00EA42D8"/>
    <w:rsid w:val="00EA46D8"/>
    <w:rsid w:val="00EA53FD"/>
    <w:rsid w:val="00EA6754"/>
    <w:rsid w:val="00EA6E9E"/>
    <w:rsid w:val="00EA7118"/>
    <w:rsid w:val="00EB14C3"/>
    <w:rsid w:val="00EB18A3"/>
    <w:rsid w:val="00EB2F07"/>
    <w:rsid w:val="00EB35E0"/>
    <w:rsid w:val="00EB4A97"/>
    <w:rsid w:val="00EB6603"/>
    <w:rsid w:val="00EB7552"/>
    <w:rsid w:val="00EC2F2E"/>
    <w:rsid w:val="00EC6B36"/>
    <w:rsid w:val="00EC6FFA"/>
    <w:rsid w:val="00EC7B16"/>
    <w:rsid w:val="00ED400E"/>
    <w:rsid w:val="00ED54FD"/>
    <w:rsid w:val="00ED5C0F"/>
    <w:rsid w:val="00ED6323"/>
    <w:rsid w:val="00ED6737"/>
    <w:rsid w:val="00ED6F23"/>
    <w:rsid w:val="00ED7029"/>
    <w:rsid w:val="00ED77CF"/>
    <w:rsid w:val="00EE038A"/>
    <w:rsid w:val="00EE0981"/>
    <w:rsid w:val="00EE1810"/>
    <w:rsid w:val="00EE2CBA"/>
    <w:rsid w:val="00EE2D5A"/>
    <w:rsid w:val="00EE3443"/>
    <w:rsid w:val="00EE4D14"/>
    <w:rsid w:val="00EE6174"/>
    <w:rsid w:val="00EE6459"/>
    <w:rsid w:val="00EE66B1"/>
    <w:rsid w:val="00EE76A6"/>
    <w:rsid w:val="00EE76B4"/>
    <w:rsid w:val="00EF5B17"/>
    <w:rsid w:val="00EF70E5"/>
    <w:rsid w:val="00EF759C"/>
    <w:rsid w:val="00F00640"/>
    <w:rsid w:val="00F0173D"/>
    <w:rsid w:val="00F018EA"/>
    <w:rsid w:val="00F018FD"/>
    <w:rsid w:val="00F05532"/>
    <w:rsid w:val="00F05621"/>
    <w:rsid w:val="00F063F4"/>
    <w:rsid w:val="00F06F23"/>
    <w:rsid w:val="00F07124"/>
    <w:rsid w:val="00F07215"/>
    <w:rsid w:val="00F11247"/>
    <w:rsid w:val="00F13F9F"/>
    <w:rsid w:val="00F14A4B"/>
    <w:rsid w:val="00F15805"/>
    <w:rsid w:val="00F1584E"/>
    <w:rsid w:val="00F159B3"/>
    <w:rsid w:val="00F16AD1"/>
    <w:rsid w:val="00F22ABE"/>
    <w:rsid w:val="00F23C36"/>
    <w:rsid w:val="00F255C1"/>
    <w:rsid w:val="00F2632A"/>
    <w:rsid w:val="00F263D3"/>
    <w:rsid w:val="00F30EF2"/>
    <w:rsid w:val="00F3189D"/>
    <w:rsid w:val="00F34D3B"/>
    <w:rsid w:val="00F352CB"/>
    <w:rsid w:val="00F36E2B"/>
    <w:rsid w:val="00F401AD"/>
    <w:rsid w:val="00F401C8"/>
    <w:rsid w:val="00F40B93"/>
    <w:rsid w:val="00F40ED1"/>
    <w:rsid w:val="00F4130A"/>
    <w:rsid w:val="00F41C61"/>
    <w:rsid w:val="00F4290B"/>
    <w:rsid w:val="00F43428"/>
    <w:rsid w:val="00F45B69"/>
    <w:rsid w:val="00F46926"/>
    <w:rsid w:val="00F46B08"/>
    <w:rsid w:val="00F51801"/>
    <w:rsid w:val="00F5190E"/>
    <w:rsid w:val="00F520CB"/>
    <w:rsid w:val="00F528BC"/>
    <w:rsid w:val="00F52EFC"/>
    <w:rsid w:val="00F56ED3"/>
    <w:rsid w:val="00F618B3"/>
    <w:rsid w:val="00F61C1F"/>
    <w:rsid w:val="00F625E0"/>
    <w:rsid w:val="00F62A83"/>
    <w:rsid w:val="00F64625"/>
    <w:rsid w:val="00F649D6"/>
    <w:rsid w:val="00F654C5"/>
    <w:rsid w:val="00F678A4"/>
    <w:rsid w:val="00F748DA"/>
    <w:rsid w:val="00F75F1C"/>
    <w:rsid w:val="00F76470"/>
    <w:rsid w:val="00F76DF6"/>
    <w:rsid w:val="00F7760D"/>
    <w:rsid w:val="00F83BFA"/>
    <w:rsid w:val="00F85327"/>
    <w:rsid w:val="00F86A97"/>
    <w:rsid w:val="00F86C07"/>
    <w:rsid w:val="00F87519"/>
    <w:rsid w:val="00F87811"/>
    <w:rsid w:val="00F90027"/>
    <w:rsid w:val="00F90C13"/>
    <w:rsid w:val="00F90FAA"/>
    <w:rsid w:val="00F91431"/>
    <w:rsid w:val="00F91EC8"/>
    <w:rsid w:val="00F9209D"/>
    <w:rsid w:val="00F92CC3"/>
    <w:rsid w:val="00F92D29"/>
    <w:rsid w:val="00F933FB"/>
    <w:rsid w:val="00F951C9"/>
    <w:rsid w:val="00FA2FD0"/>
    <w:rsid w:val="00FA2FDC"/>
    <w:rsid w:val="00FA337E"/>
    <w:rsid w:val="00FA650B"/>
    <w:rsid w:val="00FA74CD"/>
    <w:rsid w:val="00FB1CDB"/>
    <w:rsid w:val="00FB3E6E"/>
    <w:rsid w:val="00FB4219"/>
    <w:rsid w:val="00FB48D6"/>
    <w:rsid w:val="00FB4A7F"/>
    <w:rsid w:val="00FB5681"/>
    <w:rsid w:val="00FB5F7F"/>
    <w:rsid w:val="00FB77C8"/>
    <w:rsid w:val="00FB7B52"/>
    <w:rsid w:val="00FC0EC7"/>
    <w:rsid w:val="00FC17B7"/>
    <w:rsid w:val="00FC298C"/>
    <w:rsid w:val="00FC3878"/>
    <w:rsid w:val="00FC4735"/>
    <w:rsid w:val="00FC4FB5"/>
    <w:rsid w:val="00FC5705"/>
    <w:rsid w:val="00FC5FCB"/>
    <w:rsid w:val="00FC6790"/>
    <w:rsid w:val="00FC70BA"/>
    <w:rsid w:val="00FD0C0D"/>
    <w:rsid w:val="00FD1CC1"/>
    <w:rsid w:val="00FD21FC"/>
    <w:rsid w:val="00FD538B"/>
    <w:rsid w:val="00FD5946"/>
    <w:rsid w:val="00FD6201"/>
    <w:rsid w:val="00FD652D"/>
    <w:rsid w:val="00FD657D"/>
    <w:rsid w:val="00FD6982"/>
    <w:rsid w:val="00FD76DB"/>
    <w:rsid w:val="00FE33E6"/>
    <w:rsid w:val="00FE47F8"/>
    <w:rsid w:val="00FE6285"/>
    <w:rsid w:val="00FE68CC"/>
    <w:rsid w:val="00FE70E8"/>
    <w:rsid w:val="00FE7264"/>
    <w:rsid w:val="00FF12BB"/>
    <w:rsid w:val="00FF4F01"/>
    <w:rsid w:val="00FF6FD0"/>
    <w:rsid w:val="00FF781E"/>
    <w:rsid w:val="01BA561B"/>
    <w:rsid w:val="025B5117"/>
    <w:rsid w:val="028D3E68"/>
    <w:rsid w:val="02A06848"/>
    <w:rsid w:val="02E11E0B"/>
    <w:rsid w:val="04EC13E1"/>
    <w:rsid w:val="055717E3"/>
    <w:rsid w:val="0632032D"/>
    <w:rsid w:val="07AF380C"/>
    <w:rsid w:val="0802001D"/>
    <w:rsid w:val="091E3E8A"/>
    <w:rsid w:val="09510A7C"/>
    <w:rsid w:val="09D230AF"/>
    <w:rsid w:val="0A2128EA"/>
    <w:rsid w:val="0B3C50D7"/>
    <w:rsid w:val="0CD10852"/>
    <w:rsid w:val="0DB735A4"/>
    <w:rsid w:val="0EEF2DA4"/>
    <w:rsid w:val="105D2C1A"/>
    <w:rsid w:val="11BB554E"/>
    <w:rsid w:val="1293358D"/>
    <w:rsid w:val="15AD756B"/>
    <w:rsid w:val="16A80D8B"/>
    <w:rsid w:val="16E9710F"/>
    <w:rsid w:val="16FB5631"/>
    <w:rsid w:val="189D4929"/>
    <w:rsid w:val="1A601531"/>
    <w:rsid w:val="1F6D48C5"/>
    <w:rsid w:val="1F746EC6"/>
    <w:rsid w:val="1F8E58F9"/>
    <w:rsid w:val="20307CDD"/>
    <w:rsid w:val="2276673D"/>
    <w:rsid w:val="230741E4"/>
    <w:rsid w:val="2425464D"/>
    <w:rsid w:val="24CB5F4A"/>
    <w:rsid w:val="25951FC5"/>
    <w:rsid w:val="25C17DE2"/>
    <w:rsid w:val="287B6F97"/>
    <w:rsid w:val="29CB490B"/>
    <w:rsid w:val="2A561C13"/>
    <w:rsid w:val="2BE034E7"/>
    <w:rsid w:val="2BE61000"/>
    <w:rsid w:val="2DEF2CDE"/>
    <w:rsid w:val="2E907255"/>
    <w:rsid w:val="2EFE507F"/>
    <w:rsid w:val="30547A2D"/>
    <w:rsid w:val="30F17946"/>
    <w:rsid w:val="31975A28"/>
    <w:rsid w:val="34F14902"/>
    <w:rsid w:val="358F6CC2"/>
    <w:rsid w:val="37842730"/>
    <w:rsid w:val="37DF32BC"/>
    <w:rsid w:val="38625527"/>
    <w:rsid w:val="38E61D01"/>
    <w:rsid w:val="3AFB33F5"/>
    <w:rsid w:val="3B304812"/>
    <w:rsid w:val="3B772659"/>
    <w:rsid w:val="3BBB7C6C"/>
    <w:rsid w:val="3C80149A"/>
    <w:rsid w:val="3D800F6C"/>
    <w:rsid w:val="3FE04B67"/>
    <w:rsid w:val="407A7F8C"/>
    <w:rsid w:val="40A14F65"/>
    <w:rsid w:val="40DF0C22"/>
    <w:rsid w:val="41B96488"/>
    <w:rsid w:val="428517CD"/>
    <w:rsid w:val="42F3299B"/>
    <w:rsid w:val="447F4E66"/>
    <w:rsid w:val="45592BB7"/>
    <w:rsid w:val="467714A8"/>
    <w:rsid w:val="472A25B0"/>
    <w:rsid w:val="47F62F38"/>
    <w:rsid w:val="48BD5E62"/>
    <w:rsid w:val="4DA9799D"/>
    <w:rsid w:val="4DBC2A40"/>
    <w:rsid w:val="4E495F52"/>
    <w:rsid w:val="4E70193B"/>
    <w:rsid w:val="4E9A269B"/>
    <w:rsid w:val="52A430D1"/>
    <w:rsid w:val="52A80349"/>
    <w:rsid w:val="550F3292"/>
    <w:rsid w:val="55CE7A94"/>
    <w:rsid w:val="57106CAC"/>
    <w:rsid w:val="579B5A06"/>
    <w:rsid w:val="57BB429E"/>
    <w:rsid w:val="583F1789"/>
    <w:rsid w:val="587C635C"/>
    <w:rsid w:val="5ABF6E3E"/>
    <w:rsid w:val="5B694D7F"/>
    <w:rsid w:val="5C1540C3"/>
    <w:rsid w:val="5CBC7624"/>
    <w:rsid w:val="60A9328A"/>
    <w:rsid w:val="62DC3E94"/>
    <w:rsid w:val="62E1219D"/>
    <w:rsid w:val="63443531"/>
    <w:rsid w:val="64177F8A"/>
    <w:rsid w:val="663171ED"/>
    <w:rsid w:val="67C07F5E"/>
    <w:rsid w:val="68005AB2"/>
    <w:rsid w:val="693F0C8A"/>
    <w:rsid w:val="6C4B6506"/>
    <w:rsid w:val="6D865545"/>
    <w:rsid w:val="6EDF4AFF"/>
    <w:rsid w:val="70877612"/>
    <w:rsid w:val="73EA0E0F"/>
    <w:rsid w:val="78175458"/>
    <w:rsid w:val="79AE01E0"/>
    <w:rsid w:val="7A3208AE"/>
    <w:rsid w:val="7AFA27FC"/>
    <w:rsid w:val="7C414E6B"/>
    <w:rsid w:val="7C573188"/>
    <w:rsid w:val="7DBC0F54"/>
    <w:rsid w:val="7E4213F6"/>
    <w:rsid w:val="7E925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Cs w:val="44"/>
    </w:rPr>
  </w:style>
  <w:style w:type="paragraph" w:styleId="3">
    <w:name w:val="heading 2"/>
    <w:basedOn w:val="1"/>
    <w:next w:val="1"/>
    <w:qFormat/>
    <w:uiPriority w:val="0"/>
    <w:pPr>
      <w:pBdr>
        <w:bottom w:val="single" w:color="622423" w:sz="4" w:space="1"/>
      </w:pBdr>
      <w:spacing w:before="50" w:beforeLines="50" w:after="50" w:afterLines="50"/>
      <w:outlineLvl w:val="1"/>
    </w:pPr>
    <w:rPr>
      <w:b/>
      <w:caps/>
      <w:color w:val="632423"/>
      <w:spacing w:val="15"/>
      <w:sz w:val="28"/>
      <w:szCs w:val="28"/>
    </w:rPr>
  </w:style>
  <w:style w:type="paragraph" w:styleId="4">
    <w:name w:val="heading 3"/>
    <w:basedOn w:val="1"/>
    <w:next w:val="1"/>
    <w:qFormat/>
    <w:uiPriority w:val="0"/>
    <w:pPr>
      <w:keepNext/>
      <w:keepLines/>
      <w:spacing w:before="260" w:after="260" w:line="416" w:lineRule="auto"/>
      <w:outlineLvl w:val="2"/>
    </w:pPr>
    <w:rPr>
      <w:b/>
      <w:bCs/>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rPr>
      <w:sz w:val="21"/>
      <w:szCs w:val="20"/>
    </w:rPr>
  </w:style>
  <w:style w:type="paragraph" w:styleId="8">
    <w:name w:val="Document Map"/>
    <w:basedOn w:val="1"/>
    <w:semiHidden/>
    <w:qFormat/>
    <w:uiPriority w:val="0"/>
    <w:pPr>
      <w:shd w:val="clear" w:color="auto" w:fill="000080"/>
    </w:pPr>
  </w:style>
  <w:style w:type="paragraph" w:styleId="9">
    <w:name w:val="annotation text"/>
    <w:basedOn w:val="1"/>
    <w:link w:val="40"/>
    <w:unhideWhenUsed/>
    <w:qFormat/>
    <w:uiPriority w:val="99"/>
    <w:pPr>
      <w:jc w:val="left"/>
    </w:pPr>
  </w:style>
  <w:style w:type="paragraph" w:styleId="10">
    <w:name w:val="Balloon Text"/>
    <w:basedOn w:val="1"/>
    <w:semiHidden/>
    <w:qFormat/>
    <w:uiPriority w:val="0"/>
    <w:rPr>
      <w:sz w:val="18"/>
      <w:szCs w:val="18"/>
    </w:rPr>
  </w:style>
  <w:style w:type="paragraph" w:styleId="11">
    <w:name w:val="footer"/>
    <w:basedOn w:val="1"/>
    <w:link w:val="42"/>
    <w:unhideWhenUsed/>
    <w:qFormat/>
    <w:uiPriority w:val="99"/>
    <w:pPr>
      <w:tabs>
        <w:tab w:val="center" w:pos="4153"/>
        <w:tab w:val="right" w:pos="8306"/>
      </w:tabs>
      <w:snapToGrid w:val="0"/>
      <w:jc w:val="left"/>
    </w:pPr>
    <w:rPr>
      <w:sz w:val="18"/>
      <w:szCs w:val="18"/>
    </w:rPr>
  </w:style>
  <w:style w:type="paragraph" w:styleId="12">
    <w:name w:val="envelope return"/>
    <w:basedOn w:val="1"/>
    <w:qFormat/>
    <w:uiPriority w:val="0"/>
    <w:pPr>
      <w:snapToGrid w:val="0"/>
    </w:pPr>
    <w:rPr>
      <w:rFonts w:ascii="Arial" w:hAnsi="Arial"/>
    </w:rPr>
  </w:style>
  <w:style w:type="paragraph" w:styleId="13">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2"/>
    <w:basedOn w:val="1"/>
    <w:qFormat/>
    <w:uiPriority w:val="0"/>
    <w:pPr>
      <w:spacing w:after="120" w:line="480" w:lineRule="auto"/>
    </w:pPr>
  </w:style>
  <w:style w:type="paragraph" w:styleId="15">
    <w:name w:val="Normal (Web)"/>
    <w:basedOn w:val="1"/>
    <w:qFormat/>
    <w:uiPriority w:val="0"/>
    <w:pPr>
      <w:widowControl/>
      <w:spacing w:before="100" w:beforeAutospacing="1" w:after="100" w:afterAutospacing="1"/>
      <w:jc w:val="left"/>
    </w:pPr>
    <w:rPr>
      <w:rFonts w:ascii="宋体" w:hAnsi="宋体" w:eastAsia="宋体"/>
      <w:kern w:val="0"/>
      <w:sz w:val="24"/>
      <w:szCs w:val="20"/>
    </w:rPr>
  </w:style>
  <w:style w:type="paragraph" w:styleId="16">
    <w:name w:val="Title"/>
    <w:basedOn w:val="1"/>
    <w:next w:val="1"/>
    <w:link w:val="41"/>
    <w:qFormat/>
    <w:uiPriority w:val="10"/>
    <w:pPr>
      <w:spacing w:before="240" w:after="60"/>
      <w:jc w:val="center"/>
      <w:outlineLvl w:val="0"/>
    </w:pPr>
    <w:rPr>
      <w:rFonts w:ascii="Cambria" w:hAnsi="Cambria" w:eastAsia="宋体"/>
      <w:b/>
      <w:bCs/>
      <w:szCs w:val="32"/>
    </w:rPr>
  </w:style>
  <w:style w:type="paragraph" w:styleId="17">
    <w:name w:val="annotation subject"/>
    <w:basedOn w:val="9"/>
    <w:next w:val="9"/>
    <w:link w:val="43"/>
    <w:unhideWhenUsed/>
    <w:qFormat/>
    <w:uiPriority w:val="99"/>
    <w:rPr>
      <w:b/>
      <w:bCs/>
    </w:rPr>
  </w:style>
  <w:style w:type="character" w:styleId="20">
    <w:name w:val="annotation reference"/>
    <w:unhideWhenUsed/>
    <w:qFormat/>
    <w:uiPriority w:val="99"/>
    <w:rPr>
      <w:sz w:val="21"/>
      <w:szCs w:val="21"/>
    </w:rPr>
  </w:style>
  <w:style w:type="paragraph" w:customStyle="1" w:styleId="21">
    <w:name w:val="表格标题"/>
    <w:basedOn w:val="14"/>
    <w:qFormat/>
    <w:uiPriority w:val="0"/>
    <w:pPr>
      <w:spacing w:before="25" w:beforeLines="25" w:after="25" w:afterLines="25" w:line="360" w:lineRule="auto"/>
      <w:jc w:val="center"/>
    </w:pPr>
    <w:rPr>
      <w:sz w:val="21"/>
      <w:szCs w:val="21"/>
    </w:rPr>
  </w:style>
  <w:style w:type="paragraph" w:customStyle="1" w:styleId="22">
    <w:name w:val="llh-table title"/>
    <w:basedOn w:val="1"/>
    <w:qFormat/>
    <w:uiPriority w:val="0"/>
    <w:pPr>
      <w:spacing w:before="25" w:beforeLines="25" w:after="25" w:afterLines="25"/>
      <w:jc w:val="center"/>
    </w:pPr>
    <w:rPr>
      <w:bCs/>
      <w:sz w:val="21"/>
      <w:szCs w:val="20"/>
    </w:rPr>
  </w:style>
  <w:style w:type="paragraph" w:customStyle="1" w:styleId="23">
    <w:name w:val="样式 标题 2 + 段前: 0.5 行 段后: 0.5 行"/>
    <w:basedOn w:val="3"/>
    <w:qFormat/>
    <w:uiPriority w:val="0"/>
    <w:pPr>
      <w:spacing w:before="156" w:after="156"/>
    </w:pPr>
    <w:rPr>
      <w:rFonts w:cs="宋体"/>
      <w:bCs/>
      <w:color w:val="auto"/>
    </w:rPr>
  </w:style>
  <w:style w:type="paragraph" w:customStyle="1" w:styleId="24">
    <w:name w:val="样式 标题 1 + 首行缩进:  2 字符"/>
    <w:basedOn w:val="2"/>
    <w:qFormat/>
    <w:uiPriority w:val="0"/>
    <w:pPr>
      <w:ind w:firstLine="883"/>
      <w:jc w:val="both"/>
    </w:pPr>
    <w:rPr>
      <w:rFonts w:cs="宋体"/>
      <w:szCs w:val="32"/>
    </w:rPr>
  </w:style>
  <w:style w:type="paragraph" w:customStyle="1" w:styleId="25">
    <w:name w:val="llh1"/>
    <w:basedOn w:val="1"/>
    <w:qFormat/>
    <w:uiPriority w:val="0"/>
    <w:pPr>
      <w:spacing w:before="100" w:beforeLines="100" w:after="100" w:afterLines="100"/>
    </w:pPr>
    <w:rPr>
      <w:b/>
      <w:sz w:val="28"/>
      <w:szCs w:val="28"/>
    </w:rPr>
  </w:style>
  <w:style w:type="paragraph" w:customStyle="1" w:styleId="26">
    <w:name w:val="样式 样式 标题 1 + 首行缩进:  2 字符 +"/>
    <w:basedOn w:val="24"/>
    <w:qFormat/>
    <w:uiPriority w:val="0"/>
    <w:pPr>
      <w:spacing w:before="100" w:beforeLines="100" w:after="50" w:afterLines="50" w:line="360" w:lineRule="auto"/>
      <w:ind w:firstLine="0"/>
      <w:jc w:val="center"/>
    </w:pPr>
    <w:rPr>
      <w:szCs w:val="20"/>
    </w:rPr>
  </w:style>
  <w:style w:type="paragraph" w:customStyle="1" w:styleId="27">
    <w:name w:val="llh-正文"/>
    <w:basedOn w:val="1"/>
    <w:qFormat/>
    <w:uiPriority w:val="0"/>
    <w:pPr>
      <w:spacing w:line="300" w:lineRule="auto"/>
    </w:pPr>
    <w:rPr>
      <w:sz w:val="21"/>
      <w:szCs w:val="21"/>
    </w:rPr>
  </w:style>
  <w:style w:type="paragraph" w:customStyle="1" w:styleId="28">
    <w:name w:val="正文llh"/>
    <w:basedOn w:val="1"/>
    <w:qFormat/>
    <w:uiPriority w:val="0"/>
    <w:pPr>
      <w:framePr w:wrap="around" w:vAnchor="page" w:hAnchor="text" w:y="1"/>
      <w:spacing w:line="300" w:lineRule="auto"/>
      <w:ind w:firstLine="200" w:firstLineChars="200"/>
    </w:pPr>
    <w:rPr>
      <w:rFonts w:eastAsia="宋体"/>
      <w:kern w:val="0"/>
      <w:sz w:val="21"/>
      <w:szCs w:val="21"/>
    </w:rPr>
  </w:style>
  <w:style w:type="paragraph" w:customStyle="1" w:styleId="29">
    <w:name w:val="表格内容"/>
    <w:basedOn w:val="1"/>
    <w:qFormat/>
    <w:uiPriority w:val="0"/>
    <w:rPr>
      <w:bCs/>
      <w:sz w:val="21"/>
      <w:szCs w:val="21"/>
    </w:rPr>
  </w:style>
  <w:style w:type="paragraph" w:customStyle="1" w:styleId="30">
    <w:name w:val="样式 标题 4 + 首行缩进:  2 字符"/>
    <w:basedOn w:val="5"/>
    <w:qFormat/>
    <w:uiPriority w:val="0"/>
    <w:pPr>
      <w:keepNext w:val="0"/>
      <w:keepLines w:val="0"/>
      <w:pBdr>
        <w:bottom w:val="dotted" w:color="943634" w:sz="4" w:space="1"/>
      </w:pBdr>
      <w:spacing w:before="25" w:beforeLines="25" w:after="25" w:afterLines="25" w:line="360" w:lineRule="auto"/>
    </w:pPr>
    <w:rPr>
      <w:rFonts w:ascii="Times New Roman" w:hAnsi="Times New Roman" w:eastAsia="宋体" w:cs="宋体"/>
      <w:bCs w:val="0"/>
      <w:caps/>
      <w:color w:val="000000"/>
      <w:spacing w:val="10"/>
      <w:sz w:val="21"/>
      <w:szCs w:val="21"/>
    </w:rPr>
  </w:style>
  <w:style w:type="paragraph" w:customStyle="1" w:styleId="31">
    <w:name w:val="样式 标题 3 + 首行缩进:  2 字符"/>
    <w:basedOn w:val="4"/>
    <w:qFormat/>
    <w:uiPriority w:val="0"/>
    <w:pPr>
      <w:keepNext w:val="0"/>
      <w:keepLines w:val="0"/>
      <w:pBdr>
        <w:top w:val="dotted" w:color="622423" w:sz="4" w:space="1"/>
        <w:bottom w:val="dotted" w:color="622423" w:sz="4" w:space="1"/>
      </w:pBdr>
      <w:spacing w:before="25" w:beforeLines="25" w:after="25" w:afterLines="25" w:line="360" w:lineRule="auto"/>
    </w:pPr>
    <w:rPr>
      <w:rFonts w:cs="宋体"/>
      <w:bCs w:val="0"/>
      <w:caps/>
      <w:szCs w:val="24"/>
    </w:rPr>
  </w:style>
  <w:style w:type="paragraph" w:customStyle="1" w:styleId="32">
    <w:name w:val="llh标题2"/>
    <w:basedOn w:val="3"/>
    <w:qFormat/>
    <w:uiPriority w:val="0"/>
    <w:pPr>
      <w:spacing w:line="360" w:lineRule="auto"/>
      <w:jc w:val="left"/>
    </w:pPr>
    <w:rPr>
      <w:rFonts w:ascii="宋体" w:hAnsi="宋体" w:eastAsia="宋体"/>
      <w:sz w:val="24"/>
      <w:szCs w:val="21"/>
    </w:rPr>
  </w:style>
  <w:style w:type="paragraph" w:customStyle="1" w:styleId="33">
    <w:name w:val="正文仿宋"/>
    <w:basedOn w:val="1"/>
    <w:qFormat/>
    <w:uiPriority w:val="0"/>
    <w:pPr>
      <w:spacing w:line="360" w:lineRule="auto"/>
      <w:ind w:firstLine="420" w:firstLineChars="200"/>
      <w:jc w:val="left"/>
    </w:pPr>
    <w:rPr>
      <w:szCs w:val="21"/>
    </w:rPr>
  </w:style>
  <w:style w:type="paragraph" w:customStyle="1" w:styleId="34">
    <w:name w:val="llh-table"/>
    <w:basedOn w:val="1"/>
    <w:qFormat/>
    <w:uiPriority w:val="0"/>
    <w:rPr>
      <w:bCs/>
      <w:sz w:val="21"/>
      <w:szCs w:val="20"/>
    </w:rPr>
  </w:style>
  <w:style w:type="paragraph" w:customStyle="1" w:styleId="35">
    <w:name w:val="llh0"/>
    <w:basedOn w:val="25"/>
    <w:qFormat/>
    <w:uiPriority w:val="0"/>
    <w:pPr>
      <w:jc w:val="center"/>
    </w:pPr>
    <w:rPr>
      <w:sz w:val="30"/>
      <w:szCs w:val="30"/>
    </w:rPr>
  </w:style>
  <w:style w:type="paragraph" w:customStyle="1" w:styleId="36">
    <w:name w:val="样式 样式 标题 4 + 首行缩进:  2 字符 +"/>
    <w:basedOn w:val="30"/>
    <w:qFormat/>
    <w:uiPriority w:val="0"/>
    <w:rPr>
      <w:bCs/>
      <w:szCs w:val="20"/>
    </w:rPr>
  </w:style>
  <w:style w:type="paragraph" w:customStyle="1" w:styleId="37">
    <w:name w:val="llh3"/>
    <w:basedOn w:val="6"/>
    <w:qFormat/>
    <w:uiPriority w:val="0"/>
    <w:pPr>
      <w:keepNext w:val="0"/>
      <w:keepLines w:val="0"/>
      <w:spacing w:before="50" w:beforeLines="50" w:after="25" w:afterLines="25" w:line="360" w:lineRule="auto"/>
    </w:pPr>
    <w:rPr>
      <w:b w:val="0"/>
      <w:bCs w:val="0"/>
      <w:caps/>
      <w:color w:val="000000"/>
      <w:spacing w:val="10"/>
      <w:sz w:val="24"/>
      <w:szCs w:val="24"/>
    </w:rPr>
  </w:style>
  <w:style w:type="paragraph" w:customStyle="1" w:styleId="38">
    <w:name w:val="llh2"/>
    <w:basedOn w:val="5"/>
    <w:qFormat/>
    <w:uiPriority w:val="0"/>
    <w:pPr>
      <w:keepNext w:val="0"/>
      <w:keepLines w:val="0"/>
      <w:spacing w:before="100" w:beforeLines="100" w:after="50" w:afterLines="50" w:line="360" w:lineRule="auto"/>
      <w:outlineLvl w:val="0"/>
    </w:pPr>
    <w:rPr>
      <w:rFonts w:ascii="Times New Roman" w:hAnsi="Times New Roman" w:eastAsia="宋体"/>
      <w:bCs w:val="0"/>
      <w:caps/>
      <w:color w:val="000000"/>
      <w:spacing w:val="10"/>
      <w:sz w:val="24"/>
      <w:szCs w:val="24"/>
    </w:rPr>
  </w:style>
  <w:style w:type="paragraph" w:styleId="39">
    <w:name w:val="List Paragraph"/>
    <w:basedOn w:val="1"/>
    <w:qFormat/>
    <w:uiPriority w:val="34"/>
    <w:pPr>
      <w:ind w:firstLine="420" w:firstLineChars="200"/>
    </w:pPr>
    <w:rPr>
      <w:rFonts w:ascii="等线" w:hAnsi="等线" w:eastAsia="等线"/>
      <w:sz w:val="21"/>
      <w:szCs w:val="22"/>
    </w:rPr>
  </w:style>
  <w:style w:type="character" w:customStyle="1" w:styleId="40">
    <w:name w:val="批注文字 字符"/>
    <w:link w:val="9"/>
    <w:semiHidden/>
    <w:qFormat/>
    <w:uiPriority w:val="99"/>
    <w:rPr>
      <w:rFonts w:eastAsia="仿宋_GB2312"/>
      <w:kern w:val="2"/>
      <w:sz w:val="32"/>
      <w:szCs w:val="24"/>
    </w:rPr>
  </w:style>
  <w:style w:type="character" w:customStyle="1" w:styleId="41">
    <w:name w:val="标题 字符"/>
    <w:link w:val="16"/>
    <w:qFormat/>
    <w:uiPriority w:val="10"/>
    <w:rPr>
      <w:rFonts w:ascii="Cambria" w:hAnsi="Cambria" w:cs="Times New Roman"/>
      <w:b/>
      <w:bCs/>
      <w:kern w:val="2"/>
      <w:sz w:val="32"/>
      <w:szCs w:val="32"/>
    </w:rPr>
  </w:style>
  <w:style w:type="character" w:customStyle="1" w:styleId="42">
    <w:name w:val="页脚 字符"/>
    <w:link w:val="11"/>
    <w:semiHidden/>
    <w:qFormat/>
    <w:uiPriority w:val="99"/>
    <w:rPr>
      <w:rFonts w:eastAsia="仿宋_GB2312"/>
      <w:kern w:val="2"/>
      <w:sz w:val="18"/>
      <w:szCs w:val="18"/>
    </w:rPr>
  </w:style>
  <w:style w:type="character" w:customStyle="1" w:styleId="43">
    <w:name w:val="批注主题 字符"/>
    <w:link w:val="17"/>
    <w:semiHidden/>
    <w:qFormat/>
    <w:uiPriority w:val="99"/>
    <w:rPr>
      <w:rFonts w:eastAsia="仿宋_GB2312"/>
      <w:b/>
      <w:bCs/>
      <w:kern w:val="2"/>
      <w:sz w:val="32"/>
      <w:szCs w:val="24"/>
    </w:rPr>
  </w:style>
  <w:style w:type="character" w:customStyle="1" w:styleId="44">
    <w:name w:val="页眉 字符"/>
    <w:link w:val="13"/>
    <w:semiHidden/>
    <w:qFormat/>
    <w:uiPriority w:val="99"/>
    <w:rPr>
      <w:rFonts w:eastAsia="仿宋_GB2312"/>
      <w:kern w:val="2"/>
      <w:sz w:val="18"/>
      <w:szCs w:val="18"/>
    </w:rPr>
  </w:style>
  <w:style w:type="character" w:styleId="45">
    <w:name w:val="Placeholder Text"/>
    <w:basedOn w:val="19"/>
    <w:unhideWhenUsed/>
    <w:qFormat/>
    <w:uiPriority w:val="99"/>
    <w:rPr>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ZJUT</Company>
  <Pages>6</Pages>
  <Words>2839</Words>
  <Characters>2998</Characters>
  <Lines>24</Lines>
  <Paragraphs>6</Paragraphs>
  <TotalTime>30</TotalTime>
  <ScaleCrop>false</ScaleCrop>
  <LinksUpToDate>false</LinksUpToDate>
  <CharactersWithSpaces>3042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2024-10-15T02:08:00Z</dcterms:created>
  <dc:creator>LLH</dc:creator>
  <cp:lastModifiedBy>罗拉♊</cp:lastModifiedBy>
  <cp:lastPrinted>2024-10-21T02:06:00Z</cp:lastPrinted>
  <dcterms:modified xsi:type="dcterms:W3CDTF">2024-12-10T02:28:14Z</dcterms:modified>
  <dc:title>机械工程学院本科生</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4DE3899ACA76454DA8C5425776DF9FFD_13</vt:lpwstr>
  </property>
</Properties>
</file>