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4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4</w:t>
      </w:r>
      <w:r>
        <w:rPr>
          <w:rFonts w:ascii="Times New Roman" w:hAnsi="Times New Roman"/>
          <w:b/>
          <w:bCs/>
          <w:sz w:val="32"/>
          <w:szCs w:val="32"/>
        </w:rPr>
        <w:t>级</w:t>
      </w:r>
      <w:r>
        <w:rPr>
          <w:rFonts w:hint="eastAsia" w:ascii="Times New Roman" w:hAnsi="Times New Roman"/>
          <w:b/>
          <w:bCs/>
          <w:sz w:val="32"/>
          <w:szCs w:val="32"/>
        </w:rPr>
        <w:t>公共管理</w:t>
      </w:r>
      <w:r>
        <w:rPr>
          <w:rFonts w:ascii="Times New Roman" w:hAnsi="Times New Roman"/>
          <w:b/>
          <w:bCs/>
          <w:sz w:val="32"/>
          <w:szCs w:val="32"/>
        </w:rPr>
        <w:t>类学生专业确认实施细则</w:t>
      </w: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一、指导思想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​</w:t>
      </w:r>
      <w:r>
        <w:rPr>
          <w:rFonts w:hint="eastAsia" w:ascii="Times New Roman" w:hAnsi="Times New Roman"/>
          <w:sz w:val="24"/>
          <w:szCs w:val="24"/>
        </w:rPr>
        <w:t>为适应高考综合改革进一步深化后的人才培养需要，贯彻落实浙江工业大学第八次党代会、第九届本科教育工作会议精神，深化本科教育体系改革，尊重学生的选择权和激发学生学习的主动性，确保类内专业确认工作的规范、有序，</w:t>
      </w:r>
      <w:r>
        <w:rPr>
          <w:rFonts w:ascii="Times New Roman" w:hAnsi="Times New Roman"/>
          <w:sz w:val="24"/>
          <w:szCs w:val="24"/>
        </w:rPr>
        <w:t>根据学校《</w:t>
      </w:r>
      <w:r>
        <w:rPr>
          <w:rFonts w:hint="eastAsia" w:ascii="Times New Roman" w:hAnsi="Times New Roman"/>
          <w:sz w:val="24"/>
          <w:szCs w:val="24"/>
          <w:lang w:eastAsia="zh-CN"/>
        </w:rPr>
        <w:t>浙江工业大学本科新生专业确认实施办法</w:t>
      </w:r>
      <w:r>
        <w:rPr>
          <w:rFonts w:ascii="Times New Roman" w:hAnsi="Times New Roman"/>
          <w:sz w:val="24"/>
          <w:szCs w:val="24"/>
        </w:rPr>
        <w:t>》文件精神，特制定本细则。</w:t>
      </w: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二、基本原则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1.坚持公平、公正、公开。切实做到在专业确认</w:t>
      </w:r>
      <w:r>
        <w:rPr>
          <w:rFonts w:hint="eastAsia" w:ascii="Times New Roman" w:hAnsi="Times New Roman"/>
          <w:sz w:val="24"/>
          <w:szCs w:val="24"/>
        </w:rPr>
        <w:t>标准、方法、</w:t>
      </w:r>
      <w:r>
        <w:rPr>
          <w:rFonts w:ascii="Times New Roman" w:hAnsi="Times New Roman"/>
          <w:sz w:val="24"/>
          <w:szCs w:val="24"/>
        </w:rPr>
        <w:t>程序上公开</w:t>
      </w:r>
      <w:r>
        <w:rPr>
          <w:rFonts w:hint="eastAsia" w:ascii="Times New Roman" w:hAnsi="Times New Roman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公平</w:t>
      </w:r>
      <w:r>
        <w:rPr>
          <w:rFonts w:hint="eastAsia" w:ascii="Times New Roman" w:hAnsi="Times New Roman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公正</w:t>
      </w:r>
      <w:r>
        <w:rPr>
          <w:rFonts w:hint="eastAsia" w:ascii="Times New Roman" w:hAnsi="Times New Roman"/>
          <w:sz w:val="24"/>
          <w:szCs w:val="24"/>
        </w:rPr>
        <w:t>，结果公示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hint="eastAsia" w:ascii="Times New Roman" w:hAnsi="Times New Roman"/>
          <w:sz w:val="24"/>
          <w:szCs w:val="24"/>
        </w:rPr>
        <w:t>所有相关管理人员、教师与学生都必须遵守相关规定与程序。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2.坚持志愿优先、择优录取。</w:t>
      </w:r>
      <w:r>
        <w:rPr>
          <w:rFonts w:hint="eastAsia" w:ascii="Times New Roman" w:hAnsi="Times New Roman"/>
          <w:sz w:val="24"/>
          <w:szCs w:val="24"/>
        </w:rPr>
        <w:t>当申请学生数在专业接收计划内，须无条件接收学生；当申请学生数超过专业接收计划，</w:t>
      </w:r>
      <w:r>
        <w:rPr>
          <w:rFonts w:ascii="Times New Roman" w:hAnsi="Times New Roman"/>
          <w:sz w:val="24"/>
          <w:szCs w:val="24"/>
        </w:rPr>
        <w:t>充分尊重学生志愿，以高考成绩、专业学习潜质测评等为依据择优录取。</w:t>
      </w: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三、专业确认对象</w:t>
      </w:r>
    </w:p>
    <w:p>
      <w:pPr>
        <w:spacing w:line="440" w:lineRule="exact"/>
        <w:ind w:firstLine="480" w:firstLineChars="200"/>
        <w:rPr>
          <w:rFonts w:hint="eastAsia" w:ascii="Times New Roman" w:hAnsi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hint="eastAsia" w:ascii="Times New Roman" w:hAnsi="Times New Roman"/>
          <w:sz w:val="24"/>
          <w:szCs w:val="24"/>
        </w:rPr>
        <w:t>公共</w:t>
      </w:r>
      <w:r>
        <w:rPr>
          <w:rFonts w:ascii="Times New Roman" w:hAnsi="Times New Roman"/>
          <w:sz w:val="24"/>
          <w:szCs w:val="24"/>
        </w:rPr>
        <w:t>管理类</w:t>
      </w:r>
      <w:r>
        <w:rPr>
          <w:rFonts w:ascii="Times New Roman" w:hAnsi="Times New Roman"/>
          <w:kern w:val="0"/>
          <w:sz w:val="24"/>
          <w:szCs w:val="24"/>
        </w:rPr>
        <w:t>202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kern w:val="0"/>
          <w:sz w:val="24"/>
          <w:szCs w:val="24"/>
        </w:rPr>
        <w:t>级浙江省内普通高考录取的学生</w:t>
      </w:r>
      <w:r>
        <w:rPr>
          <w:rFonts w:hint="eastAsia" w:ascii="Times New Roman" w:hAnsi="Times New Roman"/>
          <w:kern w:val="0"/>
          <w:sz w:val="24"/>
          <w:szCs w:val="24"/>
          <w:lang w:eastAsia="zh-CN"/>
        </w:rPr>
        <w:t>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2.公共管理类2024级浙江省内</w:t>
      </w:r>
      <w:r>
        <w:rPr>
          <w:rFonts w:ascii="宋体" w:hAnsi="宋体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三位一体</w:t>
      </w:r>
      <w:r>
        <w:rPr>
          <w:rFonts w:ascii="宋体" w:hAnsi="宋体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招生录取的学生。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hint="eastAsia" w:ascii="Times New Roman" w:hAnsi="Times New Roman"/>
          <w:sz w:val="24"/>
          <w:szCs w:val="24"/>
        </w:rPr>
        <w:t>公共管理类2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sz w:val="24"/>
          <w:szCs w:val="24"/>
        </w:rPr>
        <w:t>级浙江省外</w:t>
      </w:r>
      <w:r>
        <w:rPr>
          <w:rFonts w:hint="eastAsia" w:ascii="Times New Roman" w:hAnsi="Times New Roman"/>
          <w:sz w:val="24"/>
          <w:szCs w:val="24"/>
          <w:lang w:eastAsia="zh-CN"/>
        </w:rPr>
        <w:t>生源</w:t>
      </w:r>
      <w:r>
        <w:rPr>
          <w:rFonts w:hint="eastAsia" w:ascii="Times New Roman" w:hAnsi="Times New Roman"/>
          <w:sz w:val="24"/>
          <w:szCs w:val="24"/>
        </w:rPr>
        <w:t>学生。</w:t>
      </w: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四、专业计划招生人数及基本要求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hint="eastAsia" w:ascii="Times New Roman" w:hAnsi="Times New Roman"/>
          <w:sz w:val="24"/>
          <w:szCs w:val="24"/>
        </w:rPr>
        <w:t>公共</w:t>
      </w:r>
      <w:r>
        <w:rPr>
          <w:rFonts w:ascii="Times New Roman" w:hAnsi="Times New Roman"/>
          <w:sz w:val="24"/>
          <w:szCs w:val="24"/>
        </w:rPr>
        <w:t>管理类各专业接收学生专业确认的人数按各专业</w:t>
      </w:r>
      <w:r>
        <w:rPr>
          <w:rFonts w:ascii="Times New Roman" w:hAnsi="Times New Roman"/>
          <w:kern w:val="0"/>
          <w:sz w:val="24"/>
          <w:szCs w:val="24"/>
        </w:rPr>
        <w:t>浙江省内普通</w:t>
      </w:r>
      <w:r>
        <w:rPr>
          <w:rFonts w:ascii="Times New Roman" w:hAnsi="Times New Roman"/>
          <w:sz w:val="24"/>
          <w:szCs w:val="24"/>
        </w:rPr>
        <w:t>高考招生计划数</w:t>
      </w:r>
      <w:r>
        <w:rPr>
          <w:rFonts w:hint="eastAsia" w:ascii="Times New Roman" w:hAnsi="Times New Roman"/>
          <w:sz w:val="24"/>
          <w:szCs w:val="24"/>
        </w:rPr>
        <w:t>、</w:t>
      </w:r>
      <w:r>
        <w:rPr>
          <w:rFonts w:ascii="Times New Roman" w:hAnsi="Times New Roman"/>
          <w:kern w:val="0"/>
          <w:sz w:val="24"/>
          <w:szCs w:val="24"/>
        </w:rPr>
        <w:t>浙江</w:t>
      </w:r>
      <w:r>
        <w:rPr>
          <w:rFonts w:ascii="Times New Roman" w:hAnsi="Times New Roman"/>
          <w:sz w:val="24"/>
          <w:szCs w:val="24"/>
        </w:rPr>
        <w:t>省内</w:t>
      </w:r>
      <w:r>
        <w:rPr>
          <w:rFonts w:ascii="宋体" w:hAnsi="宋体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三位一体</w:t>
      </w:r>
      <w:r>
        <w:rPr>
          <w:rFonts w:ascii="宋体" w:hAnsi="宋体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招生计划数</w:t>
      </w:r>
      <w:r>
        <w:rPr>
          <w:rFonts w:hint="eastAsia" w:ascii="Times New Roman" w:hAnsi="Times New Roman"/>
          <w:sz w:val="24"/>
          <w:szCs w:val="24"/>
        </w:rPr>
        <w:t>和外省招生计划数</w:t>
      </w:r>
      <w:r>
        <w:rPr>
          <w:rFonts w:ascii="Times New Roman" w:hAnsi="Times New Roman"/>
          <w:sz w:val="24"/>
          <w:szCs w:val="24"/>
        </w:rPr>
        <w:t>分别</w:t>
      </w:r>
      <w:r>
        <w:rPr>
          <w:rFonts w:hint="eastAsia" w:ascii="Times New Roman" w:hAnsi="Times New Roman"/>
          <w:sz w:val="24"/>
          <w:szCs w:val="24"/>
          <w:lang w:eastAsia="zh-CN"/>
        </w:rPr>
        <w:t>进行</w:t>
      </w:r>
      <w:r>
        <w:rPr>
          <w:rFonts w:ascii="Times New Roman" w:hAnsi="Times New Roman"/>
          <w:sz w:val="24"/>
          <w:szCs w:val="24"/>
        </w:rPr>
        <w:t>专业确认。</w:t>
      </w:r>
      <w:r>
        <w:rPr>
          <w:rFonts w:hint="eastAsia" w:ascii="宋体" w:hAnsi="宋体"/>
          <w:sz w:val="24"/>
          <w:szCs w:val="24"/>
        </w:rPr>
        <w:t>当学生一志愿率超过专业招生计划的</w:t>
      </w:r>
      <w:r>
        <w:rPr>
          <w:rFonts w:ascii="宋体" w:hAnsi="宋体"/>
          <w:sz w:val="24"/>
          <w:szCs w:val="24"/>
        </w:rPr>
        <w:t>150%</w:t>
      </w:r>
      <w:r>
        <w:rPr>
          <w:rFonts w:hint="eastAsia" w:ascii="宋体" w:hAnsi="宋体"/>
          <w:sz w:val="24"/>
          <w:szCs w:val="24"/>
        </w:rPr>
        <w:t>（含）时，专业接收计划比例不上浮。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2.所有学生须参加专业课程期中考试后方可参加专业确认，考试课程是</w:t>
      </w:r>
      <w:r>
        <w:rPr>
          <w:rFonts w:hint="eastAsia" w:ascii="Times New Roman" w:hAnsi="Times New Roman"/>
          <w:sz w:val="24"/>
          <w:szCs w:val="24"/>
        </w:rPr>
        <w:t>第一学期两门大类课程</w:t>
      </w:r>
      <w:r>
        <w:rPr>
          <w:rFonts w:ascii="Times New Roman" w:hAnsi="Times New Roman"/>
          <w:sz w:val="24"/>
          <w:szCs w:val="24"/>
        </w:rPr>
        <w:t>《</w:t>
      </w:r>
      <w:r>
        <w:rPr>
          <w:rFonts w:hint="eastAsia" w:ascii="Times New Roman" w:hAnsi="Times New Roman"/>
          <w:sz w:val="24"/>
          <w:szCs w:val="24"/>
        </w:rPr>
        <w:t>管理学概论</w:t>
      </w:r>
      <w:r>
        <w:rPr>
          <w:rFonts w:ascii="Times New Roman" w:hAnsi="Times New Roman"/>
          <w:sz w:val="24"/>
          <w:szCs w:val="24"/>
        </w:rPr>
        <w:t>》</w:t>
      </w:r>
      <w:r>
        <w:rPr>
          <w:rFonts w:hint="eastAsia" w:ascii="Times New Roman" w:hAnsi="Times New Roman"/>
          <w:sz w:val="24"/>
          <w:szCs w:val="24"/>
        </w:rPr>
        <w:t>、《社会学概论》（以下简称“两门课”）</w:t>
      </w:r>
      <w:r>
        <w:rPr>
          <w:rFonts w:ascii="Times New Roman" w:hAnsi="Times New Roman"/>
          <w:sz w:val="24"/>
          <w:szCs w:val="24"/>
        </w:rPr>
        <w:t>。没有参加</w:t>
      </w:r>
      <w:r>
        <w:rPr>
          <w:rFonts w:hint="eastAsia" w:ascii="Times New Roman" w:hAnsi="Times New Roman"/>
          <w:sz w:val="24"/>
          <w:szCs w:val="24"/>
        </w:rPr>
        <w:t>“两门课”期</w:t>
      </w:r>
      <w:r>
        <w:rPr>
          <w:rFonts w:ascii="Times New Roman" w:hAnsi="Times New Roman"/>
          <w:sz w:val="24"/>
          <w:szCs w:val="24"/>
        </w:rPr>
        <w:t>中考试的学生，视为主动放弃专业确认选择权，由</w:t>
      </w:r>
      <w:r>
        <w:rPr>
          <w:rFonts w:hint="eastAsia" w:ascii="Times New Roman" w:hAnsi="Times New Roman"/>
          <w:sz w:val="24"/>
          <w:szCs w:val="24"/>
        </w:rPr>
        <w:t>公共管理学院专业确认工作小组</w:t>
      </w:r>
      <w:r>
        <w:rPr>
          <w:rFonts w:ascii="Times New Roman" w:hAnsi="Times New Roman"/>
          <w:sz w:val="24"/>
          <w:szCs w:val="24"/>
        </w:rPr>
        <w:t>统一调配。</w:t>
      </w: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五、专业确认具体方案</w:t>
      </w:r>
    </w:p>
    <w:p>
      <w:pPr>
        <w:widowControl/>
        <w:snapToGrid w:val="0"/>
        <w:spacing w:line="440" w:lineRule="exact"/>
        <w:ind w:firstLine="482" w:firstLineChars="200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（一）</w:t>
      </w:r>
      <w:r>
        <w:rPr>
          <w:rFonts w:ascii="Times New Roman" w:hAnsi="Times New Roman"/>
          <w:b/>
          <w:bCs/>
          <w:sz w:val="24"/>
          <w:szCs w:val="24"/>
        </w:rPr>
        <w:t>浙江省内普通高考生源学生大类内专业确认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参加专业确认的学生，最多可填报</w:t>
      </w:r>
      <w:r>
        <w:rPr>
          <w:rFonts w:hint="eastAsia" w:ascii="Times New Roman" w:hAnsi="Times New Roman"/>
          <w:sz w:val="24"/>
          <w:szCs w:val="24"/>
        </w:rPr>
        <w:t>两</w:t>
      </w:r>
      <w:r>
        <w:rPr>
          <w:rFonts w:ascii="Times New Roman" w:hAnsi="Times New Roman"/>
          <w:sz w:val="24"/>
          <w:szCs w:val="24"/>
        </w:rPr>
        <w:t>个专业志愿，所填报的专业志愿须为</w:t>
      </w:r>
      <w:r>
        <w:rPr>
          <w:rFonts w:hint="eastAsia" w:ascii="Times New Roman" w:hAnsi="Times New Roman"/>
          <w:sz w:val="24"/>
          <w:szCs w:val="24"/>
        </w:rPr>
        <w:t>公共管理</w:t>
      </w:r>
      <w:r>
        <w:rPr>
          <w:rFonts w:ascii="Times New Roman" w:hAnsi="Times New Roman"/>
          <w:sz w:val="24"/>
          <w:szCs w:val="24"/>
        </w:rPr>
        <w:t>类内的专业，且不得重复填报。各专业按照学生志愿顺序、依据综合成绩从高到低排序后进行录取。综合成绩由高考成绩折算分、</w:t>
      </w:r>
      <w:r>
        <w:rPr>
          <w:rFonts w:hint="eastAsia" w:ascii="宋体" w:hAnsi="宋体"/>
          <w:sz w:val="24"/>
          <w:szCs w:val="24"/>
        </w:rPr>
        <w:t>“两门课”</w:t>
      </w:r>
      <w:r>
        <w:rPr>
          <w:rFonts w:hint="eastAsia" w:ascii="Times New Roman" w:hAnsi="宋体"/>
          <w:sz w:val="24"/>
          <w:szCs w:val="24"/>
        </w:rPr>
        <w:t>期中考试</w:t>
      </w:r>
      <w:r>
        <w:rPr>
          <w:rFonts w:ascii="Times New Roman" w:hAnsi="宋体"/>
          <w:sz w:val="24"/>
          <w:szCs w:val="24"/>
        </w:rPr>
        <w:t>成绩</w:t>
      </w:r>
      <w:r>
        <w:rPr>
          <w:rFonts w:ascii="Times New Roman" w:hAnsi="Times New Roman"/>
          <w:sz w:val="24"/>
          <w:szCs w:val="24"/>
        </w:rPr>
        <w:t>折算分组成。其中高考成绩权重占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/>
          <w:sz w:val="24"/>
          <w:szCs w:val="24"/>
        </w:rPr>
        <w:t>0%；</w:t>
      </w:r>
      <w:r>
        <w:rPr>
          <w:rFonts w:hint="eastAsia" w:ascii="宋体" w:hAnsi="宋体"/>
          <w:sz w:val="24"/>
          <w:szCs w:val="24"/>
        </w:rPr>
        <w:t>“两门课”</w:t>
      </w:r>
      <w:r>
        <w:rPr>
          <w:rFonts w:ascii="Times New Roman" w:hAnsi="Times New Roman"/>
          <w:sz w:val="24"/>
          <w:szCs w:val="24"/>
        </w:rPr>
        <w:t>期中考试权重占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sz w:val="24"/>
          <w:szCs w:val="24"/>
        </w:rPr>
        <w:t>0%。</w:t>
      </w:r>
      <w:r>
        <w:rPr>
          <w:rFonts w:hint="eastAsia" w:ascii="Times New Roman" w:hAnsi="Times New Roman"/>
          <w:sz w:val="24"/>
          <w:szCs w:val="24"/>
        </w:rPr>
        <w:t>“两门课”满分各1</w:t>
      </w:r>
      <w:r>
        <w:rPr>
          <w:rFonts w:ascii="Times New Roman" w:hAnsi="Times New Roman"/>
          <w:sz w:val="24"/>
          <w:szCs w:val="24"/>
        </w:rPr>
        <w:t>00</w:t>
      </w:r>
      <w:r>
        <w:rPr>
          <w:rFonts w:hint="eastAsia" w:ascii="Times New Roman" w:hAnsi="Times New Roman"/>
          <w:sz w:val="24"/>
          <w:szCs w:val="24"/>
        </w:rPr>
        <w:t>分，总分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hint="eastAsia" w:ascii="Times New Roman" w:hAnsi="Times New Roman"/>
          <w:sz w:val="24"/>
          <w:szCs w:val="24"/>
        </w:rPr>
        <w:t>分。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综合成绩具体算法如下：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综合成绩=</w:t>
      </w:r>
      <w:r>
        <w:rPr>
          <w:rFonts w:hint="eastAsia"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100×</w:t>
      </w:r>
      <w:r>
        <w:rPr>
          <w:rFonts w:ascii="Times New Roman" w:hAnsi="宋体"/>
          <w:sz w:val="24"/>
          <w:szCs w:val="24"/>
        </w:rPr>
        <w:t>高考成绩</w:t>
      </w:r>
      <w:r>
        <w:rPr>
          <w:rFonts w:ascii="Times New Roman" w:hAnsi="Times New Roman"/>
          <w:sz w:val="24"/>
          <w:szCs w:val="24"/>
        </w:rPr>
        <w:t xml:space="preserve"> / 750</w:t>
      </w:r>
      <w:r>
        <w:rPr>
          <w:rFonts w:ascii="Times New Roman" w:hAnsi="宋体"/>
          <w:sz w:val="24"/>
          <w:szCs w:val="24"/>
        </w:rPr>
        <w:t>）</w:t>
      </w:r>
      <w:r>
        <w:rPr>
          <w:rFonts w:ascii="Times New Roman" w:hAnsi="Times New Roman"/>
          <w:kern w:val="36"/>
          <w:sz w:val="24"/>
          <w:szCs w:val="24"/>
        </w:rPr>
        <w:t>×</w:t>
      </w:r>
      <w:r>
        <w:rPr>
          <w:rFonts w:hint="eastAsia" w:ascii="Times New Roman" w:hAnsi="Times New Roman"/>
          <w:kern w:val="36"/>
          <w:sz w:val="24"/>
          <w:szCs w:val="24"/>
          <w:lang w:val="en-US" w:eastAsia="zh-CN"/>
        </w:rPr>
        <w:t>7</w:t>
      </w:r>
      <w:r>
        <w:rPr>
          <w:rFonts w:ascii="Times New Roman" w:hAnsi="Times New Roman"/>
          <w:kern w:val="36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%</w:t>
      </w:r>
      <w:r>
        <w:rPr>
          <w:rFonts w:hint="eastAsia" w:ascii="Times New Roman" w:hAnsi="Times New Roman"/>
          <w:sz w:val="24"/>
          <w:szCs w:val="24"/>
        </w:rPr>
        <w:t>+“两门课”期中考试平均成绩</w:t>
      </w:r>
      <w:r>
        <w:rPr>
          <w:rFonts w:ascii="Times New Roman" w:hAnsi="Times New Roman"/>
          <w:kern w:val="36"/>
          <w:sz w:val="24"/>
          <w:szCs w:val="24"/>
        </w:rPr>
        <w:t xml:space="preserve">× </w:t>
      </w:r>
      <w:r>
        <w:rPr>
          <w:rFonts w:hint="eastAsia" w:ascii="Times New Roman" w:hAnsi="Times New Roman"/>
          <w:kern w:val="36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kern w:val="36"/>
          <w:sz w:val="24"/>
          <w:szCs w:val="24"/>
        </w:rPr>
        <w:t>0</w:t>
      </w:r>
      <w:r>
        <w:rPr>
          <w:rFonts w:hint="eastAsia" w:ascii="Times New Roman" w:hAnsi="Times New Roman"/>
          <w:kern w:val="36"/>
          <w:sz w:val="24"/>
          <w:szCs w:val="24"/>
        </w:rPr>
        <w:t>%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当申请学生数少于专业接收计划数时，各专业应无条件接收学生；当申请学生数超过专业接收计划数时，各专业按照学生志愿、依据综合成绩排序进行专业确认（综合成绩相同时按照</w:t>
      </w:r>
      <w:r>
        <w:rPr>
          <w:rFonts w:hint="eastAsia" w:ascii="宋体" w:hAnsi="宋体"/>
          <w:sz w:val="24"/>
          <w:szCs w:val="24"/>
        </w:rPr>
        <w:t>“两门课”</w:t>
      </w:r>
      <w:r>
        <w:rPr>
          <w:rFonts w:ascii="Times New Roman" w:hAnsi="Times New Roman"/>
          <w:sz w:val="24"/>
          <w:szCs w:val="24"/>
        </w:rPr>
        <w:t>期中考试总分</w:t>
      </w:r>
      <w:r>
        <w:rPr>
          <w:rFonts w:hint="eastAsia" w:ascii="Times New Roman" w:hAnsi="Times New Roman"/>
          <w:sz w:val="24"/>
          <w:szCs w:val="24"/>
        </w:rPr>
        <w:t>成绩排序）。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未按规定填写及提交专业确认申请表的学生，视为主动放弃专业确认选择权，由</w:t>
      </w:r>
      <w:r>
        <w:rPr>
          <w:rFonts w:hint="eastAsia" w:ascii="Times New Roman" w:hAnsi="Times New Roman"/>
          <w:sz w:val="24"/>
          <w:szCs w:val="24"/>
        </w:rPr>
        <w:t>公共管理学院专业确认工作小组</w:t>
      </w:r>
      <w:r>
        <w:rPr>
          <w:rFonts w:ascii="Times New Roman" w:hAnsi="Times New Roman"/>
          <w:sz w:val="24"/>
          <w:szCs w:val="24"/>
        </w:rPr>
        <w:t>负责调配。</w:t>
      </w:r>
    </w:p>
    <w:p>
      <w:pPr>
        <w:widowControl/>
        <w:snapToGrid w:val="0"/>
        <w:spacing w:line="440" w:lineRule="exact"/>
        <w:ind w:firstLine="482" w:firstLineChars="200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（二）</w:t>
      </w:r>
      <w:r>
        <w:rPr>
          <w:rFonts w:ascii="Times New Roman" w:hAnsi="Times New Roman"/>
          <w:b/>
          <w:bCs/>
          <w:sz w:val="24"/>
          <w:szCs w:val="24"/>
        </w:rPr>
        <w:t>浙江省内</w:t>
      </w:r>
      <w:r>
        <w:rPr>
          <w:rFonts w:ascii="宋体" w:hAnsi="宋体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>三位一体</w:t>
      </w:r>
      <w:r>
        <w:rPr>
          <w:rFonts w:ascii="宋体" w:hAnsi="宋体"/>
          <w:b/>
          <w:bCs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</w:rPr>
        <w:t>招生录取学生专业确认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参加专业确认的学生，</w:t>
      </w:r>
      <w:r>
        <w:rPr>
          <w:rFonts w:ascii="Times New Roman" w:hAnsi="Times New Roman"/>
          <w:sz w:val="24"/>
          <w:szCs w:val="24"/>
        </w:rPr>
        <w:t>最多可填报</w:t>
      </w:r>
      <w:r>
        <w:rPr>
          <w:rFonts w:hint="eastAsia" w:ascii="Times New Roman" w:hAnsi="Times New Roman"/>
          <w:sz w:val="24"/>
          <w:szCs w:val="24"/>
        </w:rPr>
        <w:t>两个</w:t>
      </w:r>
      <w:r>
        <w:rPr>
          <w:rFonts w:ascii="Times New Roman" w:hAnsi="Times New Roman"/>
          <w:sz w:val="24"/>
          <w:szCs w:val="24"/>
        </w:rPr>
        <w:t>专业志愿，所填报的专业志愿须为</w:t>
      </w:r>
      <w:r>
        <w:rPr>
          <w:rFonts w:hint="eastAsia" w:ascii="Times New Roman" w:hAnsi="Times New Roman"/>
          <w:sz w:val="24"/>
          <w:szCs w:val="24"/>
        </w:rPr>
        <w:t>公共管理</w:t>
      </w:r>
      <w:r>
        <w:rPr>
          <w:rFonts w:ascii="Times New Roman" w:hAnsi="Times New Roman"/>
          <w:sz w:val="24"/>
          <w:szCs w:val="24"/>
        </w:rPr>
        <w:t>类内的专业，且不得重复填报。</w:t>
      </w:r>
      <w:r>
        <w:rPr>
          <w:rFonts w:hint="eastAsia" w:ascii="Times New Roman" w:hAnsi="Times New Roman"/>
          <w:sz w:val="24"/>
          <w:szCs w:val="24"/>
          <w:lang w:eastAsia="zh-CN"/>
        </w:rPr>
        <w:t>各专业</w:t>
      </w:r>
      <w:r>
        <w:rPr>
          <w:rFonts w:ascii="Times New Roman" w:hAnsi="Times New Roman"/>
          <w:sz w:val="24"/>
          <w:szCs w:val="24"/>
        </w:rPr>
        <w:t>按照学生志愿顺序、依据</w:t>
      </w:r>
      <w:r>
        <w:rPr>
          <w:rFonts w:hint="eastAsia" w:ascii="Times New Roman" w:hAnsi="Times New Roman"/>
          <w:sz w:val="24"/>
          <w:szCs w:val="24"/>
        </w:rPr>
        <w:t>综合成绩</w:t>
      </w:r>
      <w:r>
        <w:rPr>
          <w:rFonts w:ascii="Times New Roman" w:hAnsi="Times New Roman"/>
          <w:sz w:val="24"/>
          <w:szCs w:val="24"/>
        </w:rPr>
        <w:t>从高到低排序后</w:t>
      </w:r>
      <w:r>
        <w:rPr>
          <w:rFonts w:hint="eastAsia" w:ascii="Times New Roman" w:hAnsi="Times New Roman"/>
          <w:sz w:val="24"/>
          <w:szCs w:val="24"/>
          <w:lang w:eastAsia="zh-CN"/>
        </w:rPr>
        <w:t>进行录取</w:t>
      </w:r>
      <w:r>
        <w:rPr>
          <w:rFonts w:ascii="Times New Roman" w:hAnsi="Times New Roman"/>
          <w:sz w:val="24"/>
          <w:szCs w:val="24"/>
        </w:rPr>
        <w:t>。综合成绩由高考</w:t>
      </w:r>
      <w:r>
        <w:rPr>
          <w:rFonts w:hint="eastAsia" w:ascii="Times New Roman" w:hAnsi="Times New Roman"/>
          <w:sz w:val="24"/>
          <w:szCs w:val="24"/>
          <w:lang w:eastAsia="zh-CN"/>
        </w:rPr>
        <w:t>录取综合分</w:t>
      </w:r>
      <w:r>
        <w:rPr>
          <w:rFonts w:ascii="Times New Roman" w:hAnsi="Times New Roman"/>
          <w:sz w:val="24"/>
          <w:szCs w:val="24"/>
        </w:rPr>
        <w:t>、</w:t>
      </w:r>
      <w:r>
        <w:rPr>
          <w:rFonts w:hint="eastAsia" w:ascii="Times New Roman" w:hAnsi="Times New Roman"/>
          <w:sz w:val="24"/>
          <w:szCs w:val="24"/>
        </w:rPr>
        <w:t>“两门课”期中考试</w:t>
      </w:r>
      <w:r>
        <w:rPr>
          <w:rFonts w:ascii="Times New Roman" w:hAnsi="Times New Roman"/>
          <w:sz w:val="24"/>
          <w:szCs w:val="24"/>
        </w:rPr>
        <w:t>成绩折算分组成。其中高考录取综合分成绩权重占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/>
          <w:sz w:val="24"/>
          <w:szCs w:val="24"/>
        </w:rPr>
        <w:t>0%；</w:t>
      </w:r>
      <w:r>
        <w:rPr>
          <w:rFonts w:hint="eastAsia" w:ascii="Times New Roman" w:hAnsi="Times New Roman"/>
          <w:sz w:val="24"/>
          <w:szCs w:val="24"/>
        </w:rPr>
        <w:t>“两门课”期中考试</w:t>
      </w:r>
      <w:r>
        <w:rPr>
          <w:rFonts w:ascii="Times New Roman" w:hAnsi="Times New Roman"/>
          <w:sz w:val="24"/>
          <w:szCs w:val="24"/>
        </w:rPr>
        <w:t>成绩权重占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sz w:val="24"/>
          <w:szCs w:val="24"/>
        </w:rPr>
        <w:t>0%。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综合成绩具体算法如下：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综合成绩=高考录取综合分×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/>
          <w:sz w:val="24"/>
          <w:szCs w:val="24"/>
        </w:rPr>
        <w:t>0% +</w:t>
      </w:r>
      <w:r>
        <w:rPr>
          <w:rFonts w:hint="eastAsia" w:ascii="Times New Roman" w:hAnsi="Times New Roman"/>
          <w:sz w:val="24"/>
          <w:szCs w:val="24"/>
        </w:rPr>
        <w:t>“两门课”期中考试平均成绩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sz w:val="24"/>
          <w:szCs w:val="24"/>
        </w:rPr>
        <w:t>0%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当申请学生数少于专业接收计划数时，各专业应无条件接收学生；当申请学生数超过专业接收计划数时，各专业按照学生志愿、依据综合成绩排序进行专业确认（综合成绩相同时按照</w:t>
      </w:r>
      <w:r>
        <w:rPr>
          <w:rFonts w:hint="eastAsia" w:ascii="宋体" w:hAnsi="宋体"/>
          <w:sz w:val="24"/>
          <w:szCs w:val="24"/>
        </w:rPr>
        <w:t>“两门课”</w:t>
      </w:r>
      <w:r>
        <w:rPr>
          <w:rFonts w:ascii="Times New Roman" w:hAnsi="Times New Roman"/>
          <w:sz w:val="24"/>
          <w:szCs w:val="24"/>
        </w:rPr>
        <w:t>期中考试总分</w:t>
      </w:r>
      <w:r>
        <w:rPr>
          <w:rFonts w:hint="eastAsia" w:ascii="Times New Roman" w:hAnsi="Times New Roman"/>
          <w:sz w:val="24"/>
          <w:szCs w:val="24"/>
        </w:rPr>
        <w:t>成绩排序）。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未按规定填写及提交专业确认申请表的学生，视为主动放弃专业确认选择权，由</w:t>
      </w:r>
      <w:r>
        <w:rPr>
          <w:rFonts w:hint="eastAsia" w:ascii="Times New Roman" w:hAnsi="Times New Roman"/>
          <w:sz w:val="24"/>
          <w:szCs w:val="24"/>
        </w:rPr>
        <w:t>公共管理学院专业确认工作小组</w:t>
      </w:r>
      <w:r>
        <w:rPr>
          <w:rFonts w:ascii="Times New Roman" w:hAnsi="Times New Roman"/>
          <w:sz w:val="24"/>
          <w:szCs w:val="24"/>
        </w:rPr>
        <w:t>负责调配。</w:t>
      </w:r>
    </w:p>
    <w:p>
      <w:pPr>
        <w:widowControl/>
        <w:snapToGrid w:val="0"/>
        <w:spacing w:line="440" w:lineRule="exact"/>
        <w:ind w:firstLine="482" w:firstLineChars="200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（三）浙江省外</w:t>
      </w:r>
      <w:r>
        <w:rPr>
          <w:rFonts w:ascii="Times New Roman" w:hAnsi="Times New Roman"/>
          <w:b/>
          <w:bCs/>
          <w:sz w:val="24"/>
          <w:szCs w:val="24"/>
        </w:rPr>
        <w:t>生源学生大类内专业确认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参加专业确认的学生，</w:t>
      </w:r>
      <w:r>
        <w:rPr>
          <w:rFonts w:hint="eastAsia" w:ascii="Times New Roman" w:hAnsi="Times New Roman"/>
          <w:sz w:val="24"/>
          <w:szCs w:val="24"/>
        </w:rPr>
        <w:t>最多可填报两个专业志愿，所填报的专业志愿须为公共管理类内专业</w:t>
      </w:r>
      <w:r>
        <w:rPr>
          <w:rFonts w:ascii="Times New Roman" w:hAnsi="Times New Roman"/>
          <w:sz w:val="24"/>
          <w:szCs w:val="24"/>
        </w:rPr>
        <w:t>，且不得重复填报</w:t>
      </w:r>
      <w:r>
        <w:rPr>
          <w:rFonts w:hint="eastAsia" w:ascii="Times New Roman" w:hAnsi="Times New Roman"/>
          <w:sz w:val="24"/>
          <w:szCs w:val="24"/>
        </w:rPr>
        <w:t>。</w:t>
      </w:r>
      <w:r>
        <w:rPr>
          <w:rFonts w:hint="eastAsia" w:ascii="Times New Roman" w:hAnsi="Times New Roman"/>
          <w:sz w:val="24"/>
          <w:szCs w:val="24"/>
          <w:lang w:eastAsia="zh-CN"/>
        </w:rPr>
        <w:t>各专业按照</w:t>
      </w:r>
      <w:r>
        <w:rPr>
          <w:rFonts w:hint="eastAsia" w:ascii="Times New Roman" w:hAnsi="Times New Roman"/>
          <w:sz w:val="24"/>
          <w:szCs w:val="24"/>
        </w:rPr>
        <w:t>学生志愿</w:t>
      </w:r>
      <w:r>
        <w:rPr>
          <w:rFonts w:hint="eastAsia" w:ascii="Times New Roman" w:hAnsi="Times New Roman"/>
          <w:sz w:val="24"/>
          <w:szCs w:val="24"/>
          <w:lang w:eastAsia="zh-CN"/>
        </w:rPr>
        <w:t>顺序、依据</w:t>
      </w:r>
      <w:r>
        <w:rPr>
          <w:rFonts w:hint="eastAsia" w:ascii="Times New Roman" w:hAnsi="Times New Roman"/>
          <w:sz w:val="24"/>
          <w:szCs w:val="24"/>
        </w:rPr>
        <w:t>综合成绩从高到低排序</w:t>
      </w:r>
      <w:r>
        <w:rPr>
          <w:rFonts w:hint="eastAsia" w:ascii="Times New Roman" w:hAnsi="Times New Roman"/>
          <w:sz w:val="24"/>
          <w:szCs w:val="24"/>
          <w:lang w:eastAsia="zh-CN"/>
        </w:rPr>
        <w:t>后进行录取</w:t>
      </w:r>
      <w:r>
        <w:rPr>
          <w:rFonts w:hint="eastAsia"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>综合成绩由高考成绩折算分、</w:t>
      </w:r>
      <w:r>
        <w:rPr>
          <w:rFonts w:hint="eastAsia" w:ascii="宋体" w:hAnsi="宋体"/>
          <w:sz w:val="24"/>
          <w:szCs w:val="24"/>
        </w:rPr>
        <w:t>“两门课”</w:t>
      </w:r>
      <w:r>
        <w:rPr>
          <w:rFonts w:hint="eastAsia" w:ascii="Times New Roman" w:hAnsi="宋体"/>
          <w:sz w:val="24"/>
          <w:szCs w:val="24"/>
        </w:rPr>
        <w:t>期中考试</w:t>
      </w:r>
      <w:r>
        <w:rPr>
          <w:rFonts w:ascii="Times New Roman" w:hAnsi="宋体"/>
          <w:sz w:val="24"/>
          <w:szCs w:val="24"/>
        </w:rPr>
        <w:t>成绩</w:t>
      </w:r>
      <w:r>
        <w:rPr>
          <w:rFonts w:ascii="Times New Roman" w:hAnsi="Times New Roman"/>
          <w:sz w:val="24"/>
          <w:szCs w:val="24"/>
        </w:rPr>
        <w:t>折算分组成。其中高考成绩权重占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/>
          <w:sz w:val="24"/>
          <w:szCs w:val="24"/>
        </w:rPr>
        <w:t>0%；</w:t>
      </w:r>
      <w:r>
        <w:rPr>
          <w:rFonts w:hint="eastAsia" w:ascii="宋体" w:hAnsi="宋体"/>
          <w:sz w:val="24"/>
          <w:szCs w:val="24"/>
        </w:rPr>
        <w:t>“两门课”</w:t>
      </w:r>
      <w:r>
        <w:rPr>
          <w:rFonts w:ascii="Times New Roman" w:hAnsi="Times New Roman"/>
          <w:sz w:val="24"/>
          <w:szCs w:val="24"/>
        </w:rPr>
        <w:t>期中考试权重占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sz w:val="24"/>
          <w:szCs w:val="24"/>
        </w:rPr>
        <w:t>0%。综合成绩具体算法如下：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综合成绩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hint="eastAsia" w:ascii="Times New Roman" w:hAnsi="Times New Roman"/>
          <w:sz w:val="24"/>
          <w:szCs w:val="24"/>
        </w:rPr>
        <w:t>高考成绩折算分</w:t>
      </w:r>
      <w:r>
        <w:rPr>
          <w:sz w:val="28"/>
          <w:szCs w:val="28"/>
        </w:rPr>
        <w:sym w:font="Symbol" w:char="F0B4"/>
      </w:r>
      <w:r>
        <w:rPr>
          <w:rFonts w:hint="eastAsia" w:ascii="Times New Roman" w:hAnsi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/>
          <w:sz w:val="24"/>
          <w:szCs w:val="24"/>
        </w:rPr>
        <w:t>0%+</w:t>
      </w:r>
      <w:r>
        <w:rPr>
          <w:rFonts w:hint="eastAsia" w:ascii="Times New Roman" w:hAnsi="Times New Roman"/>
          <w:sz w:val="24"/>
          <w:szCs w:val="24"/>
        </w:rPr>
        <w:t>“两门课”期中考试平均成绩</w:t>
      </w:r>
      <w:r>
        <w:rPr>
          <w:sz w:val="28"/>
          <w:szCs w:val="28"/>
        </w:rPr>
        <w:sym w:font="Symbol" w:char="F0B4"/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sz w:val="24"/>
          <w:szCs w:val="24"/>
        </w:rPr>
        <w:t>0%</w:t>
      </w:r>
    </w:p>
    <w:p>
      <w:pPr>
        <w:spacing w:line="44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高考成绩折算分=100</w:t>
      </w:r>
      <w:r>
        <w:rPr>
          <w:rFonts w:ascii="Times New Roman" w:hAnsi="Times New Roman"/>
          <w:kern w:val="36"/>
          <w:sz w:val="24"/>
          <w:szCs w:val="24"/>
        </w:rPr>
        <w:t xml:space="preserve">× </w:t>
      </w:r>
      <w:r>
        <w:rPr>
          <w:rFonts w:hint="eastAsia" w:ascii="Times New Roman" w:hAnsi="Times New Roman"/>
          <w:sz w:val="24"/>
          <w:szCs w:val="24"/>
        </w:rPr>
        <w:t>学生高考成绩/考生所在省高考总分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当申请学生数少于专业接收计划数时，各专业应无条件接收学生；当申请学生数超过专业接收计划数时，各专业按照学生志愿、依据综合成绩排序进行专业确认（综合成绩相同时按照</w:t>
      </w:r>
      <w:r>
        <w:rPr>
          <w:rFonts w:hint="eastAsia" w:ascii="宋体" w:hAnsi="宋体"/>
          <w:sz w:val="24"/>
          <w:szCs w:val="24"/>
        </w:rPr>
        <w:t>“两门课”</w:t>
      </w:r>
      <w:r>
        <w:rPr>
          <w:rFonts w:ascii="Times New Roman" w:hAnsi="Times New Roman"/>
          <w:sz w:val="24"/>
          <w:szCs w:val="24"/>
        </w:rPr>
        <w:t>期中考试总分</w:t>
      </w:r>
      <w:r>
        <w:rPr>
          <w:rFonts w:hint="eastAsia" w:ascii="Times New Roman" w:hAnsi="Times New Roman"/>
          <w:sz w:val="24"/>
          <w:szCs w:val="24"/>
        </w:rPr>
        <w:t>成绩排序）。</w:t>
      </w:r>
    </w:p>
    <w:p>
      <w:pPr>
        <w:spacing w:line="44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未按规定填写及提交专业确认申请表的学生，视为主动放弃专业确认选择权，由</w:t>
      </w:r>
      <w:r>
        <w:rPr>
          <w:rFonts w:hint="eastAsia" w:ascii="Times New Roman" w:hAnsi="Times New Roman"/>
          <w:sz w:val="24"/>
          <w:szCs w:val="24"/>
        </w:rPr>
        <w:t>公共管理学院专业确认工作小组</w:t>
      </w:r>
      <w:r>
        <w:rPr>
          <w:rFonts w:ascii="Times New Roman" w:hAnsi="Times New Roman"/>
          <w:sz w:val="24"/>
          <w:szCs w:val="24"/>
        </w:rPr>
        <w:t>负责调配。</w:t>
      </w: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</w:p>
    <w:p>
      <w:pPr>
        <w:spacing w:line="44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六、其他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1.浙江省外生源学生中在招生时已经确定专业的学生（含新疆内地班学生、西藏内地班学生、少数民族预科班学生、港澳台学生），直接按录取专业确定专业。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2.按特殊招生政策招收的体育特长学生，其专业的确定依据招生简章、招生计划和学生填报的志愿加以确认。</w:t>
      </w:r>
    </w:p>
    <w:p>
      <w:pPr>
        <w:spacing w:line="440" w:lineRule="exact"/>
        <w:ind w:firstLine="480" w:firstLineChars="2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3.通过学校专业调整相关政策转入</w:t>
      </w:r>
      <w:r>
        <w:rPr>
          <w:rFonts w:hint="eastAsia" w:ascii="Times New Roman" w:hAnsi="Times New Roman"/>
          <w:sz w:val="24"/>
          <w:szCs w:val="24"/>
        </w:rPr>
        <w:t>公共管理</w:t>
      </w:r>
      <w:r>
        <w:rPr>
          <w:rFonts w:ascii="Times New Roman" w:hAnsi="Times New Roman"/>
          <w:sz w:val="24"/>
          <w:szCs w:val="24"/>
        </w:rPr>
        <w:t>类</w:t>
      </w:r>
      <w:r>
        <w:rPr>
          <w:rFonts w:ascii="Times New Roman" w:hAnsi="Times New Roman"/>
          <w:color w:val="000000"/>
          <w:kern w:val="0"/>
          <w:sz w:val="24"/>
          <w:szCs w:val="24"/>
        </w:rPr>
        <w:t>的202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color w:val="000000"/>
          <w:kern w:val="0"/>
          <w:sz w:val="24"/>
          <w:szCs w:val="24"/>
        </w:rPr>
        <w:t>级学生，不参加本次专业确认，按其转专业时所明确的转入专业直接就读。</w:t>
      </w:r>
    </w:p>
    <w:p>
      <w:pPr>
        <w:spacing w:line="440" w:lineRule="exact"/>
        <w:ind w:firstLine="480" w:firstLineChars="2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4.学业进程调整到202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color w:val="000000"/>
          <w:kern w:val="0"/>
          <w:sz w:val="24"/>
          <w:szCs w:val="24"/>
        </w:rPr>
        <w:t>级且之前已经明确专业的学生不参与本次专业确认，依照学业进程调整前的专业到相应的班级。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/>
          <w:sz w:val="24"/>
          <w:szCs w:val="24"/>
        </w:rPr>
        <w:t>.本细则未尽事宜由</w:t>
      </w:r>
      <w:r>
        <w:rPr>
          <w:rFonts w:hint="eastAsia" w:ascii="Times New Roman" w:hAnsi="Times New Roman"/>
          <w:sz w:val="24"/>
          <w:szCs w:val="24"/>
        </w:rPr>
        <w:t>公共管理学院专业确认工作小组</w:t>
      </w:r>
      <w:r>
        <w:rPr>
          <w:rFonts w:ascii="Times New Roman" w:hAnsi="Times New Roman"/>
          <w:sz w:val="24"/>
          <w:szCs w:val="24"/>
        </w:rPr>
        <w:t>负责解释。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附表：</w:t>
      </w:r>
    </w:p>
    <w:p>
      <w:pPr>
        <w:spacing w:line="440" w:lineRule="exact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44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级</w:t>
      </w:r>
      <w:r>
        <w:rPr>
          <w:rFonts w:hint="eastAsia" w:ascii="Times New Roman" w:hAnsi="Times New Roman"/>
          <w:b/>
          <w:bCs/>
          <w:sz w:val="24"/>
          <w:szCs w:val="24"/>
        </w:rPr>
        <w:t>公共</w:t>
      </w:r>
      <w:r>
        <w:rPr>
          <w:rFonts w:ascii="Times New Roman" w:hAnsi="Times New Roman"/>
          <w:b/>
          <w:bCs/>
          <w:sz w:val="24"/>
          <w:szCs w:val="24"/>
        </w:rPr>
        <w:t>管理类本科生专业确认</w:t>
      </w:r>
      <w:r>
        <w:rPr>
          <w:rFonts w:hint="eastAsia" w:ascii="Times New Roman" w:hAnsi="Times New Roman"/>
          <w:b/>
          <w:bCs/>
          <w:sz w:val="24"/>
          <w:szCs w:val="24"/>
        </w:rPr>
        <w:t>接收</w:t>
      </w:r>
      <w:r>
        <w:rPr>
          <w:rFonts w:ascii="Times New Roman" w:hAnsi="Times New Roman"/>
          <w:b/>
          <w:bCs/>
          <w:sz w:val="24"/>
          <w:szCs w:val="24"/>
        </w:rPr>
        <w:t>计划汇总表</w:t>
      </w:r>
    </w:p>
    <w:tbl>
      <w:tblPr>
        <w:tblStyle w:val="21"/>
        <w:tblW w:w="8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8"/>
        <w:gridCol w:w="1560"/>
        <w:gridCol w:w="1560"/>
        <w:gridCol w:w="1559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58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专业名称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总人数</w:t>
            </w:r>
          </w:p>
        </w:tc>
        <w:tc>
          <w:tcPr>
            <w:tcW w:w="3119" w:type="dxa"/>
            <w:gridSpan w:val="2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浙江省内</w:t>
            </w:r>
          </w:p>
        </w:tc>
        <w:tc>
          <w:tcPr>
            <w:tcW w:w="12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浙江省外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1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588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560" w:type="dxa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普通考生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三位一体</w:t>
            </w:r>
          </w:p>
        </w:tc>
        <w:tc>
          <w:tcPr>
            <w:tcW w:w="1202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0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88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公共事业管理</w:t>
            </w:r>
          </w:p>
        </w:tc>
        <w:tc>
          <w:tcPr>
            <w:tcW w:w="1560" w:type="dxa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43</w:t>
            </w:r>
          </w:p>
        </w:tc>
        <w:tc>
          <w:tcPr>
            <w:tcW w:w="1560" w:type="dxa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32</w:t>
            </w: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02" w:type="dxa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0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88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行政管理</w:t>
            </w:r>
          </w:p>
        </w:tc>
        <w:tc>
          <w:tcPr>
            <w:tcW w:w="1560" w:type="dxa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52</w:t>
            </w:r>
          </w:p>
        </w:tc>
        <w:tc>
          <w:tcPr>
            <w:tcW w:w="1560" w:type="dxa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42</w:t>
            </w: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202" w:type="dxa"/>
            <w:noWrap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</w:tr>
    </w:tbl>
    <w:p>
      <w:pPr>
        <w:spacing w:line="440" w:lineRule="exact"/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</w:pPr>
    </w:p>
    <w:p>
      <w:pPr>
        <w:spacing w:line="440" w:lineRule="exact"/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p>
      <w:pPr>
        <w:spacing w:line="44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级</w:t>
      </w:r>
      <w:r>
        <w:rPr>
          <w:rFonts w:hint="eastAsia" w:ascii="Times New Roman" w:hAnsi="Times New Roman"/>
          <w:b/>
          <w:bCs/>
          <w:sz w:val="24"/>
          <w:szCs w:val="24"/>
        </w:rPr>
        <w:t>公共</w:t>
      </w:r>
      <w:r>
        <w:rPr>
          <w:rFonts w:ascii="Times New Roman" w:hAnsi="Times New Roman"/>
          <w:b/>
          <w:bCs/>
          <w:sz w:val="24"/>
          <w:szCs w:val="24"/>
        </w:rPr>
        <w:t>管理类本科生专业确认</w:t>
      </w:r>
      <w:r>
        <w:rPr>
          <w:rFonts w:hint="eastAsia" w:ascii="Times New Roman" w:hAnsi="Times New Roman"/>
          <w:b/>
          <w:bCs/>
          <w:sz w:val="24"/>
          <w:szCs w:val="24"/>
        </w:rPr>
        <w:t>时间安排表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1"/>
        <w:gridCol w:w="4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事项</w:t>
            </w:r>
          </w:p>
        </w:tc>
        <w:tc>
          <w:tcPr>
            <w:tcW w:w="415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时间安排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制定专业确认实施细则</w:t>
            </w:r>
          </w:p>
        </w:tc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bCs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各专业开展专业宣传、专业咨询</w:t>
            </w:r>
          </w:p>
        </w:tc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bCs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日前（第12周前）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学生填写和提交专业确认志愿表</w:t>
            </w:r>
          </w:p>
        </w:tc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bCs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日前（第13周前）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专业组织确认</w:t>
            </w:r>
          </w:p>
        </w:tc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12月</w:t>
            </w:r>
            <w:r>
              <w:rPr>
                <w:rFonts w:hint="eastAsia" w:ascii="Times New Roman" w:hAnsi="Times New Roman"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日前（第1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4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周前）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专业确认结果公示结束</w:t>
            </w:r>
          </w:p>
        </w:tc>
        <w:tc>
          <w:tcPr>
            <w:tcW w:w="4151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12月</w:t>
            </w:r>
            <w:r>
              <w:rPr>
                <w:rFonts w:hint="eastAsia" w:ascii="Times New Roman" w:hAnsi="Times New Roman"/>
                <w:bCs/>
                <w:kern w:val="0"/>
                <w:szCs w:val="21"/>
                <w:lang w:val="en-US" w:eastAsia="zh-CN"/>
              </w:rPr>
              <w:t>27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日前（第1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5</w:t>
            </w: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周前）</w:t>
            </w:r>
          </w:p>
        </w:tc>
      </w:tr>
    </w:tbl>
    <w:p>
      <w:pPr>
        <w:spacing w:line="440" w:lineRule="exact"/>
        <w:rPr>
          <w:rFonts w:ascii="Times New Roman" w:hAnsi="Times New Roman"/>
          <w:color w:val="BEBEBE" w:themeColor="background1" w:themeShade="BF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RlMjVmYWM5Y2UyM2E1Mjc1OGZhYTk0YmI3MjRmNTkifQ=="/>
    <w:docVar w:name="KSO_WPS_MARK_KEY" w:val="c420c565-6ed5-4162-8aab-793648793967"/>
  </w:docVars>
  <w:rsids>
    <w:rsidRoot w:val="007F1C4D"/>
    <w:rsid w:val="0000202E"/>
    <w:rsid w:val="00003707"/>
    <w:rsid w:val="00003F02"/>
    <w:rsid w:val="0000411C"/>
    <w:rsid w:val="00011945"/>
    <w:rsid w:val="00021A9C"/>
    <w:rsid w:val="0002342E"/>
    <w:rsid w:val="000362F2"/>
    <w:rsid w:val="00037ABB"/>
    <w:rsid w:val="00040702"/>
    <w:rsid w:val="00044F42"/>
    <w:rsid w:val="000470B7"/>
    <w:rsid w:val="0005397F"/>
    <w:rsid w:val="000565DC"/>
    <w:rsid w:val="00077CDD"/>
    <w:rsid w:val="00082CE4"/>
    <w:rsid w:val="00084BB9"/>
    <w:rsid w:val="0008619D"/>
    <w:rsid w:val="000A23C4"/>
    <w:rsid w:val="000A290B"/>
    <w:rsid w:val="000A7D44"/>
    <w:rsid w:val="000B106E"/>
    <w:rsid w:val="000B47DE"/>
    <w:rsid w:val="000B7E6E"/>
    <w:rsid w:val="000C42B0"/>
    <w:rsid w:val="000D0AC2"/>
    <w:rsid w:val="000D1688"/>
    <w:rsid w:val="000D16DF"/>
    <w:rsid w:val="000D5852"/>
    <w:rsid w:val="000E4DF8"/>
    <w:rsid w:val="000F01C7"/>
    <w:rsid w:val="000F1374"/>
    <w:rsid w:val="000F15AA"/>
    <w:rsid w:val="000F58CC"/>
    <w:rsid w:val="00102B03"/>
    <w:rsid w:val="0010620B"/>
    <w:rsid w:val="0010707A"/>
    <w:rsid w:val="0013010F"/>
    <w:rsid w:val="00132267"/>
    <w:rsid w:val="00133D21"/>
    <w:rsid w:val="00135855"/>
    <w:rsid w:val="0013638C"/>
    <w:rsid w:val="00136A60"/>
    <w:rsid w:val="00143315"/>
    <w:rsid w:val="00150E00"/>
    <w:rsid w:val="001573B4"/>
    <w:rsid w:val="00157F77"/>
    <w:rsid w:val="00164138"/>
    <w:rsid w:val="001644AB"/>
    <w:rsid w:val="001657E7"/>
    <w:rsid w:val="00172C7B"/>
    <w:rsid w:val="00174FCA"/>
    <w:rsid w:val="001768FF"/>
    <w:rsid w:val="0018081F"/>
    <w:rsid w:val="00184729"/>
    <w:rsid w:val="00196000"/>
    <w:rsid w:val="001A02F7"/>
    <w:rsid w:val="001A051B"/>
    <w:rsid w:val="001A176F"/>
    <w:rsid w:val="001B4D31"/>
    <w:rsid w:val="001C6304"/>
    <w:rsid w:val="001D43D0"/>
    <w:rsid w:val="001E69C6"/>
    <w:rsid w:val="001F4FF6"/>
    <w:rsid w:val="00200280"/>
    <w:rsid w:val="00202163"/>
    <w:rsid w:val="00206097"/>
    <w:rsid w:val="00217789"/>
    <w:rsid w:val="0022106E"/>
    <w:rsid w:val="00225253"/>
    <w:rsid w:val="00240EB9"/>
    <w:rsid w:val="0024114B"/>
    <w:rsid w:val="0024428C"/>
    <w:rsid w:val="00253CFF"/>
    <w:rsid w:val="002618E2"/>
    <w:rsid w:val="0027176F"/>
    <w:rsid w:val="002829D8"/>
    <w:rsid w:val="00283397"/>
    <w:rsid w:val="002862F0"/>
    <w:rsid w:val="00286D30"/>
    <w:rsid w:val="00292112"/>
    <w:rsid w:val="002922B4"/>
    <w:rsid w:val="00297E8F"/>
    <w:rsid w:val="002A0D2D"/>
    <w:rsid w:val="002A171F"/>
    <w:rsid w:val="002A7341"/>
    <w:rsid w:val="002B0E0F"/>
    <w:rsid w:val="002B2329"/>
    <w:rsid w:val="002B376E"/>
    <w:rsid w:val="002B4B75"/>
    <w:rsid w:val="002C2099"/>
    <w:rsid w:val="002D1098"/>
    <w:rsid w:val="002D1B3F"/>
    <w:rsid w:val="002E3064"/>
    <w:rsid w:val="002E7C01"/>
    <w:rsid w:val="002F2953"/>
    <w:rsid w:val="00303387"/>
    <w:rsid w:val="00320169"/>
    <w:rsid w:val="003351C4"/>
    <w:rsid w:val="00341532"/>
    <w:rsid w:val="00345FFF"/>
    <w:rsid w:val="00346E19"/>
    <w:rsid w:val="00350688"/>
    <w:rsid w:val="00354DEA"/>
    <w:rsid w:val="0036008B"/>
    <w:rsid w:val="003622D4"/>
    <w:rsid w:val="00367816"/>
    <w:rsid w:val="00377803"/>
    <w:rsid w:val="00382B96"/>
    <w:rsid w:val="00397D0A"/>
    <w:rsid w:val="003A0CE4"/>
    <w:rsid w:val="003A4228"/>
    <w:rsid w:val="003A6B53"/>
    <w:rsid w:val="003B04F0"/>
    <w:rsid w:val="003B32A4"/>
    <w:rsid w:val="003B420D"/>
    <w:rsid w:val="003C19CB"/>
    <w:rsid w:val="003C3ABD"/>
    <w:rsid w:val="003D3A23"/>
    <w:rsid w:val="003D51EE"/>
    <w:rsid w:val="003E33ED"/>
    <w:rsid w:val="003E746D"/>
    <w:rsid w:val="003F030E"/>
    <w:rsid w:val="003F2D62"/>
    <w:rsid w:val="004171AC"/>
    <w:rsid w:val="00420B76"/>
    <w:rsid w:val="00426F54"/>
    <w:rsid w:val="0044004C"/>
    <w:rsid w:val="004550A0"/>
    <w:rsid w:val="0045751D"/>
    <w:rsid w:val="00466A0F"/>
    <w:rsid w:val="00467B0D"/>
    <w:rsid w:val="0048557C"/>
    <w:rsid w:val="004858B4"/>
    <w:rsid w:val="004A657D"/>
    <w:rsid w:val="004B3C9D"/>
    <w:rsid w:val="004B5584"/>
    <w:rsid w:val="004C1CAC"/>
    <w:rsid w:val="004D5876"/>
    <w:rsid w:val="004E6520"/>
    <w:rsid w:val="004F0C49"/>
    <w:rsid w:val="004F7EC7"/>
    <w:rsid w:val="005010C2"/>
    <w:rsid w:val="005011DF"/>
    <w:rsid w:val="00503B57"/>
    <w:rsid w:val="005041AC"/>
    <w:rsid w:val="00505D2D"/>
    <w:rsid w:val="005061E2"/>
    <w:rsid w:val="005161A4"/>
    <w:rsid w:val="0052094E"/>
    <w:rsid w:val="00521A45"/>
    <w:rsid w:val="005247A2"/>
    <w:rsid w:val="005304D5"/>
    <w:rsid w:val="00534B77"/>
    <w:rsid w:val="005438FC"/>
    <w:rsid w:val="00543E7D"/>
    <w:rsid w:val="005529F5"/>
    <w:rsid w:val="00554E1D"/>
    <w:rsid w:val="00555DCE"/>
    <w:rsid w:val="00555EC5"/>
    <w:rsid w:val="005662CF"/>
    <w:rsid w:val="00570183"/>
    <w:rsid w:val="00583834"/>
    <w:rsid w:val="005A2A58"/>
    <w:rsid w:val="005A42BE"/>
    <w:rsid w:val="005B04DD"/>
    <w:rsid w:val="005B145C"/>
    <w:rsid w:val="005B1BDB"/>
    <w:rsid w:val="005B49CA"/>
    <w:rsid w:val="005C5870"/>
    <w:rsid w:val="005C7AFC"/>
    <w:rsid w:val="005E06DE"/>
    <w:rsid w:val="005E24AD"/>
    <w:rsid w:val="005E73E8"/>
    <w:rsid w:val="005E7759"/>
    <w:rsid w:val="005F548E"/>
    <w:rsid w:val="00604992"/>
    <w:rsid w:val="00610652"/>
    <w:rsid w:val="006120A0"/>
    <w:rsid w:val="006161D1"/>
    <w:rsid w:val="006173E6"/>
    <w:rsid w:val="006215AC"/>
    <w:rsid w:val="00632BA6"/>
    <w:rsid w:val="00636FDD"/>
    <w:rsid w:val="00640743"/>
    <w:rsid w:val="00645D42"/>
    <w:rsid w:val="0065180F"/>
    <w:rsid w:val="00651911"/>
    <w:rsid w:val="0065322D"/>
    <w:rsid w:val="006654A6"/>
    <w:rsid w:val="00667B8B"/>
    <w:rsid w:val="00670D05"/>
    <w:rsid w:val="006711A6"/>
    <w:rsid w:val="00674366"/>
    <w:rsid w:val="00690C6B"/>
    <w:rsid w:val="006926FA"/>
    <w:rsid w:val="006976DB"/>
    <w:rsid w:val="006A06CB"/>
    <w:rsid w:val="006A0A0C"/>
    <w:rsid w:val="006A17C0"/>
    <w:rsid w:val="006B048D"/>
    <w:rsid w:val="006C2938"/>
    <w:rsid w:val="006C385D"/>
    <w:rsid w:val="006C4086"/>
    <w:rsid w:val="006D39F6"/>
    <w:rsid w:val="006E6BD0"/>
    <w:rsid w:val="006F3B16"/>
    <w:rsid w:val="00701F3C"/>
    <w:rsid w:val="0070682B"/>
    <w:rsid w:val="00707F1B"/>
    <w:rsid w:val="00711155"/>
    <w:rsid w:val="0071200D"/>
    <w:rsid w:val="007133C8"/>
    <w:rsid w:val="007204A4"/>
    <w:rsid w:val="00722309"/>
    <w:rsid w:val="00727AD4"/>
    <w:rsid w:val="00734D37"/>
    <w:rsid w:val="00736BFE"/>
    <w:rsid w:val="00737CC9"/>
    <w:rsid w:val="00740CAF"/>
    <w:rsid w:val="00747D75"/>
    <w:rsid w:val="00753AB5"/>
    <w:rsid w:val="00754993"/>
    <w:rsid w:val="007642B7"/>
    <w:rsid w:val="00770D40"/>
    <w:rsid w:val="00771B68"/>
    <w:rsid w:val="0077559B"/>
    <w:rsid w:val="00780610"/>
    <w:rsid w:val="00787E88"/>
    <w:rsid w:val="0079269A"/>
    <w:rsid w:val="00797D45"/>
    <w:rsid w:val="007A2D19"/>
    <w:rsid w:val="007B08B3"/>
    <w:rsid w:val="007B265D"/>
    <w:rsid w:val="007B6F99"/>
    <w:rsid w:val="007B751D"/>
    <w:rsid w:val="007C19BC"/>
    <w:rsid w:val="007F1C4D"/>
    <w:rsid w:val="007F501B"/>
    <w:rsid w:val="007F6ED6"/>
    <w:rsid w:val="0080027A"/>
    <w:rsid w:val="00801601"/>
    <w:rsid w:val="008039D0"/>
    <w:rsid w:val="008044FD"/>
    <w:rsid w:val="00805AD4"/>
    <w:rsid w:val="00810FE7"/>
    <w:rsid w:val="00824A34"/>
    <w:rsid w:val="008353EA"/>
    <w:rsid w:val="00835A11"/>
    <w:rsid w:val="00861D1B"/>
    <w:rsid w:val="0086355A"/>
    <w:rsid w:val="00865938"/>
    <w:rsid w:val="0087337D"/>
    <w:rsid w:val="008752C0"/>
    <w:rsid w:val="00883303"/>
    <w:rsid w:val="0088399B"/>
    <w:rsid w:val="0088449C"/>
    <w:rsid w:val="00890FF2"/>
    <w:rsid w:val="008939D2"/>
    <w:rsid w:val="008A01DB"/>
    <w:rsid w:val="008B7B8F"/>
    <w:rsid w:val="008C48A5"/>
    <w:rsid w:val="008C4FB8"/>
    <w:rsid w:val="008C53D3"/>
    <w:rsid w:val="008D277C"/>
    <w:rsid w:val="008D3FA2"/>
    <w:rsid w:val="008E542F"/>
    <w:rsid w:val="008F3DAF"/>
    <w:rsid w:val="008F6107"/>
    <w:rsid w:val="00914084"/>
    <w:rsid w:val="00924DB4"/>
    <w:rsid w:val="009317B2"/>
    <w:rsid w:val="009436CE"/>
    <w:rsid w:val="0094471F"/>
    <w:rsid w:val="0095266D"/>
    <w:rsid w:val="00961BD2"/>
    <w:rsid w:val="009700D1"/>
    <w:rsid w:val="0098288F"/>
    <w:rsid w:val="00986E4A"/>
    <w:rsid w:val="00994E66"/>
    <w:rsid w:val="009A0B8E"/>
    <w:rsid w:val="009A1192"/>
    <w:rsid w:val="009B3094"/>
    <w:rsid w:val="009B393A"/>
    <w:rsid w:val="009B53DB"/>
    <w:rsid w:val="009B6C9C"/>
    <w:rsid w:val="009C5172"/>
    <w:rsid w:val="009D1095"/>
    <w:rsid w:val="009D1317"/>
    <w:rsid w:val="009D2A3B"/>
    <w:rsid w:val="009D3055"/>
    <w:rsid w:val="009E3007"/>
    <w:rsid w:val="009E7C61"/>
    <w:rsid w:val="009F02DC"/>
    <w:rsid w:val="009F1014"/>
    <w:rsid w:val="009F46DB"/>
    <w:rsid w:val="00A02069"/>
    <w:rsid w:val="00A12579"/>
    <w:rsid w:val="00A15E69"/>
    <w:rsid w:val="00A17CE7"/>
    <w:rsid w:val="00A304DF"/>
    <w:rsid w:val="00A327AC"/>
    <w:rsid w:val="00A33039"/>
    <w:rsid w:val="00A33DAF"/>
    <w:rsid w:val="00A363C3"/>
    <w:rsid w:val="00A3717D"/>
    <w:rsid w:val="00A40B88"/>
    <w:rsid w:val="00A43CEC"/>
    <w:rsid w:val="00A46909"/>
    <w:rsid w:val="00A659EA"/>
    <w:rsid w:val="00A70A46"/>
    <w:rsid w:val="00A84B4E"/>
    <w:rsid w:val="00A948E0"/>
    <w:rsid w:val="00A95427"/>
    <w:rsid w:val="00A96A69"/>
    <w:rsid w:val="00AA19CD"/>
    <w:rsid w:val="00AA6B92"/>
    <w:rsid w:val="00AB5BBE"/>
    <w:rsid w:val="00AB7A59"/>
    <w:rsid w:val="00AC01E7"/>
    <w:rsid w:val="00AC5E93"/>
    <w:rsid w:val="00AC69A8"/>
    <w:rsid w:val="00AD2AD5"/>
    <w:rsid w:val="00AD42C4"/>
    <w:rsid w:val="00AE70FF"/>
    <w:rsid w:val="00B01A52"/>
    <w:rsid w:val="00B0517D"/>
    <w:rsid w:val="00B20BEC"/>
    <w:rsid w:val="00B262B7"/>
    <w:rsid w:val="00B26610"/>
    <w:rsid w:val="00B35370"/>
    <w:rsid w:val="00B40588"/>
    <w:rsid w:val="00B4267C"/>
    <w:rsid w:val="00B43220"/>
    <w:rsid w:val="00B4413E"/>
    <w:rsid w:val="00B50AA7"/>
    <w:rsid w:val="00B52B6A"/>
    <w:rsid w:val="00B544AE"/>
    <w:rsid w:val="00B54A34"/>
    <w:rsid w:val="00B700F3"/>
    <w:rsid w:val="00B74C4D"/>
    <w:rsid w:val="00B7664A"/>
    <w:rsid w:val="00B80E17"/>
    <w:rsid w:val="00B8122F"/>
    <w:rsid w:val="00B824E6"/>
    <w:rsid w:val="00B83AA6"/>
    <w:rsid w:val="00B84C10"/>
    <w:rsid w:val="00B945EF"/>
    <w:rsid w:val="00B96144"/>
    <w:rsid w:val="00BC5D3E"/>
    <w:rsid w:val="00BE0EE0"/>
    <w:rsid w:val="00BE1766"/>
    <w:rsid w:val="00C212ED"/>
    <w:rsid w:val="00C32EA3"/>
    <w:rsid w:val="00C34BD1"/>
    <w:rsid w:val="00C364C2"/>
    <w:rsid w:val="00C50EDC"/>
    <w:rsid w:val="00C52417"/>
    <w:rsid w:val="00C6678D"/>
    <w:rsid w:val="00C6770F"/>
    <w:rsid w:val="00C67FBF"/>
    <w:rsid w:val="00C85E03"/>
    <w:rsid w:val="00CA099A"/>
    <w:rsid w:val="00CA1B29"/>
    <w:rsid w:val="00CA6D4E"/>
    <w:rsid w:val="00CB1FCB"/>
    <w:rsid w:val="00CC0B23"/>
    <w:rsid w:val="00CC3929"/>
    <w:rsid w:val="00CC42DB"/>
    <w:rsid w:val="00CC4E26"/>
    <w:rsid w:val="00CD0B71"/>
    <w:rsid w:val="00CD0C72"/>
    <w:rsid w:val="00CD30D0"/>
    <w:rsid w:val="00CE0474"/>
    <w:rsid w:val="00CE6F91"/>
    <w:rsid w:val="00CF288A"/>
    <w:rsid w:val="00CF5E98"/>
    <w:rsid w:val="00CF5F6A"/>
    <w:rsid w:val="00CF604F"/>
    <w:rsid w:val="00D041A7"/>
    <w:rsid w:val="00D16937"/>
    <w:rsid w:val="00D22D34"/>
    <w:rsid w:val="00D2376E"/>
    <w:rsid w:val="00D26B0D"/>
    <w:rsid w:val="00D26FEE"/>
    <w:rsid w:val="00D33047"/>
    <w:rsid w:val="00D51993"/>
    <w:rsid w:val="00D5511E"/>
    <w:rsid w:val="00D607EE"/>
    <w:rsid w:val="00D61CDC"/>
    <w:rsid w:val="00D62638"/>
    <w:rsid w:val="00D639E5"/>
    <w:rsid w:val="00D65F86"/>
    <w:rsid w:val="00D6752A"/>
    <w:rsid w:val="00D70D6A"/>
    <w:rsid w:val="00D87906"/>
    <w:rsid w:val="00D9680E"/>
    <w:rsid w:val="00DB13BF"/>
    <w:rsid w:val="00DB2B1A"/>
    <w:rsid w:val="00DB340B"/>
    <w:rsid w:val="00DC0ADC"/>
    <w:rsid w:val="00DC1434"/>
    <w:rsid w:val="00DC4875"/>
    <w:rsid w:val="00DD7B1D"/>
    <w:rsid w:val="00DE1486"/>
    <w:rsid w:val="00DE3775"/>
    <w:rsid w:val="00E07446"/>
    <w:rsid w:val="00E15611"/>
    <w:rsid w:val="00E221DC"/>
    <w:rsid w:val="00E24982"/>
    <w:rsid w:val="00E30256"/>
    <w:rsid w:val="00E332CE"/>
    <w:rsid w:val="00E43FCA"/>
    <w:rsid w:val="00E46603"/>
    <w:rsid w:val="00E57F58"/>
    <w:rsid w:val="00E617E3"/>
    <w:rsid w:val="00E702AC"/>
    <w:rsid w:val="00E83689"/>
    <w:rsid w:val="00E95EE6"/>
    <w:rsid w:val="00EA04E9"/>
    <w:rsid w:val="00EA3F9E"/>
    <w:rsid w:val="00EA5783"/>
    <w:rsid w:val="00EA597C"/>
    <w:rsid w:val="00EB1AE5"/>
    <w:rsid w:val="00EC6302"/>
    <w:rsid w:val="00EC6832"/>
    <w:rsid w:val="00ED0DBF"/>
    <w:rsid w:val="00ED5E40"/>
    <w:rsid w:val="00EE785F"/>
    <w:rsid w:val="00EF13D3"/>
    <w:rsid w:val="00EF1565"/>
    <w:rsid w:val="00EF4B4A"/>
    <w:rsid w:val="00F01A28"/>
    <w:rsid w:val="00F04128"/>
    <w:rsid w:val="00F06780"/>
    <w:rsid w:val="00F12799"/>
    <w:rsid w:val="00F145C7"/>
    <w:rsid w:val="00F20448"/>
    <w:rsid w:val="00F20F28"/>
    <w:rsid w:val="00F2603F"/>
    <w:rsid w:val="00F46EBA"/>
    <w:rsid w:val="00F538AA"/>
    <w:rsid w:val="00F57864"/>
    <w:rsid w:val="00F6316C"/>
    <w:rsid w:val="00F65CD3"/>
    <w:rsid w:val="00F74520"/>
    <w:rsid w:val="00F7507B"/>
    <w:rsid w:val="00F83AA2"/>
    <w:rsid w:val="00F85A7C"/>
    <w:rsid w:val="00F9387F"/>
    <w:rsid w:val="00F97C30"/>
    <w:rsid w:val="00FA0CEE"/>
    <w:rsid w:val="00FB034E"/>
    <w:rsid w:val="00FB4707"/>
    <w:rsid w:val="00FB6EB5"/>
    <w:rsid w:val="00FC1692"/>
    <w:rsid w:val="00FD13A2"/>
    <w:rsid w:val="00FD6796"/>
    <w:rsid w:val="00FE33D7"/>
    <w:rsid w:val="00FE61BF"/>
    <w:rsid w:val="00FF2D2D"/>
    <w:rsid w:val="00FF3FD4"/>
    <w:rsid w:val="00FF47D8"/>
    <w:rsid w:val="00FF79E1"/>
    <w:rsid w:val="01DB6727"/>
    <w:rsid w:val="09DD51A7"/>
    <w:rsid w:val="0AA3355A"/>
    <w:rsid w:val="10106C8C"/>
    <w:rsid w:val="26860823"/>
    <w:rsid w:val="2B8F20C7"/>
    <w:rsid w:val="2C3100F5"/>
    <w:rsid w:val="3F9D37E0"/>
    <w:rsid w:val="41C70269"/>
    <w:rsid w:val="482910E7"/>
    <w:rsid w:val="4B7E260C"/>
    <w:rsid w:val="50DE0639"/>
    <w:rsid w:val="52401720"/>
    <w:rsid w:val="540120F8"/>
    <w:rsid w:val="5ACB4F95"/>
    <w:rsid w:val="615A1B0D"/>
    <w:rsid w:val="696F20FA"/>
    <w:rsid w:val="6F7B5355"/>
    <w:rsid w:val="70F31366"/>
    <w:rsid w:val="77593185"/>
    <w:rsid w:val="7A360E4B"/>
    <w:rsid w:val="7F752D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Balloon Text"/>
    <w:basedOn w:val="1"/>
    <w:link w:val="12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7">
    <w:name w:val="annotation subject"/>
    <w:basedOn w:val="3"/>
    <w:next w:val="3"/>
    <w:link w:val="17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character" w:customStyle="1" w:styleId="12">
    <w:name w:val="批注框文本 Char"/>
    <w:link w:val="4"/>
    <w:semiHidden/>
    <w:qFormat/>
    <w:uiPriority w:val="99"/>
    <w:rPr>
      <w:sz w:val="18"/>
      <w:szCs w:val="18"/>
    </w:rPr>
  </w:style>
  <w:style w:type="character" w:customStyle="1" w:styleId="13">
    <w:name w:val="页眉 Char"/>
    <w:link w:val="6"/>
    <w:semiHidden/>
    <w:qFormat/>
    <w:uiPriority w:val="99"/>
    <w:rPr>
      <w:sz w:val="18"/>
      <w:szCs w:val="18"/>
    </w:rPr>
  </w:style>
  <w:style w:type="character" w:customStyle="1" w:styleId="14">
    <w:name w:val="批注文字 Char"/>
    <w:link w:val="3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5">
    <w:name w:val="占位符文本1"/>
    <w:semiHidden/>
    <w:qFormat/>
    <w:uiPriority w:val="99"/>
    <w:rPr>
      <w:color w:val="808080"/>
    </w:rPr>
  </w:style>
  <w:style w:type="character" w:customStyle="1" w:styleId="16">
    <w:name w:val="标题 1 Char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主题 Char"/>
    <w:link w:val="7"/>
    <w:semiHidden/>
    <w:qFormat/>
    <w:uiPriority w:val="99"/>
    <w:rPr>
      <w:rFonts w:ascii="Calibri" w:hAnsi="Calibri"/>
      <w:b/>
      <w:bCs/>
      <w:kern w:val="2"/>
      <w:sz w:val="21"/>
      <w:szCs w:val="22"/>
    </w:rPr>
  </w:style>
  <w:style w:type="character" w:customStyle="1" w:styleId="18">
    <w:name w:val="页脚 Char"/>
    <w:link w:val="5"/>
    <w:qFormat/>
    <w:uiPriority w:val="99"/>
    <w:rPr>
      <w:sz w:val="18"/>
      <w:szCs w:val="18"/>
    </w:rPr>
  </w:style>
  <w:style w:type="paragraph" w:customStyle="1" w:styleId="19">
    <w:name w:val="_Style 17"/>
    <w:basedOn w:val="1"/>
    <w:next w:val="20"/>
    <w:qFormat/>
    <w:uiPriority w:val="34"/>
    <w:pPr>
      <w:ind w:firstLine="420" w:firstLineChars="200"/>
    </w:pPr>
    <w:rPr>
      <w:rFonts w:ascii="等线" w:hAnsi="等线" w:eastAsia="等线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table" w:customStyle="1" w:styleId="21">
    <w:name w:val="网格型浅色1"/>
    <w:basedOn w:val="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2524</Words>
  <Characters>2663</Characters>
  <Lines>16</Lines>
  <Paragraphs>4</Paragraphs>
  <TotalTime>19</TotalTime>
  <ScaleCrop>false</ScaleCrop>
  <LinksUpToDate>false</LinksUpToDate>
  <CharactersWithSpaces>2668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2020-10-19T02:53:00Z</dcterms:created>
  <dc:creator>AutoBVT</dc:creator>
  <cp:lastModifiedBy>310</cp:lastModifiedBy>
  <cp:lastPrinted>2018-11-06T02:14:00Z</cp:lastPrinted>
  <dcterms:modified xsi:type="dcterms:W3CDTF">2024-10-16T00:46:17Z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579F6A5B176C41879379BDA046FE8BF2_12</vt:lpwstr>
  </property>
</Properties>
</file>