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E28FC">
      <w:pPr>
        <w:jc w:val="center"/>
        <w:rPr>
          <w:rFonts w:hint="eastAsia" w:ascii="Times New Roman" w:hAnsi="Times New Roman" w:eastAsia="方正小标宋简体" w:cs="Times New Roman"/>
          <w:b w:val="0"/>
          <w:bCs/>
          <w:color w:val="auto"/>
          <w:sz w:val="32"/>
          <w:szCs w:val="24"/>
          <w:lang w:eastAsia="zh-CN"/>
        </w:rPr>
      </w:pPr>
      <w:bookmarkStart w:id="0" w:name="OLE_LINK1"/>
      <w:r>
        <w:rPr>
          <w:rFonts w:hint="eastAsia" w:eastAsia="方正小标宋简体" w:cs="Times New Roman"/>
          <w:b w:val="0"/>
          <w:bCs/>
          <w:color w:val="auto"/>
          <w:sz w:val="32"/>
          <w:szCs w:val="24"/>
          <w:lang w:val="en-US" w:eastAsia="zh-CN"/>
        </w:rPr>
        <w:t>浙江工业大学</w:t>
      </w:r>
      <w:r>
        <w:rPr>
          <w:rFonts w:hint="default" w:ascii="Times New Roman" w:hAnsi="Times New Roman" w:eastAsia="方正小标宋简体" w:cs="Times New Roman"/>
          <w:b w:val="0"/>
          <w:bCs/>
          <w:color w:val="auto"/>
          <w:sz w:val="32"/>
          <w:szCs w:val="24"/>
        </w:rPr>
        <w:t>基层教学组织评价</w:t>
      </w:r>
      <w:bookmarkEnd w:id="0"/>
      <w:r>
        <w:rPr>
          <w:rFonts w:hint="default" w:ascii="Times New Roman" w:hAnsi="Times New Roman" w:eastAsia="方正小标宋简体" w:cs="Times New Roman"/>
          <w:b w:val="0"/>
          <w:bCs/>
          <w:color w:val="auto"/>
          <w:sz w:val="32"/>
          <w:szCs w:val="24"/>
        </w:rPr>
        <w:t>指标</w:t>
      </w:r>
    </w:p>
    <w:tbl>
      <w:tblPr>
        <w:tblStyle w:val="5"/>
        <w:tblW w:w="8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9"/>
        <w:gridCol w:w="5826"/>
      </w:tblGrid>
      <w:tr w14:paraId="594E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759" w:type="dxa"/>
            <w:noWrap w:val="0"/>
            <w:vAlign w:val="center"/>
          </w:tcPr>
          <w:p w14:paraId="403A361D">
            <w:pPr>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指标</w:t>
            </w:r>
          </w:p>
        </w:tc>
        <w:tc>
          <w:tcPr>
            <w:tcW w:w="5826" w:type="dxa"/>
            <w:noWrap w:val="0"/>
            <w:vAlign w:val="center"/>
          </w:tcPr>
          <w:p w14:paraId="1153224C">
            <w:pPr>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指标涵义</w:t>
            </w:r>
          </w:p>
        </w:tc>
      </w:tr>
      <w:tr w14:paraId="2751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noWrap w:val="0"/>
            <w:vAlign w:val="top"/>
          </w:tcPr>
          <w:p w14:paraId="4F83E925">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教学运行</w:t>
            </w:r>
            <w:bookmarkStart w:id="1" w:name="OLE_LINK4"/>
            <w:r>
              <w:rPr>
                <w:rFonts w:hint="default" w:ascii="Times New Roman" w:hAnsi="Times New Roman" w:eastAsia="仿宋_GB2312" w:cs="Times New Roman"/>
                <w:color w:val="auto"/>
                <w:sz w:val="24"/>
                <w:szCs w:val="24"/>
              </w:rPr>
              <w:t>（10分）</w:t>
            </w:r>
            <w:bookmarkEnd w:id="1"/>
          </w:p>
        </w:tc>
        <w:tc>
          <w:tcPr>
            <w:tcW w:w="5826" w:type="dxa"/>
            <w:noWrap w:val="0"/>
            <w:vAlign w:val="top"/>
          </w:tcPr>
          <w:p w14:paraId="1DBA7238">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1.对教学环节进行指导、检查和监督，按时完成教学计划，课程安排合理，</w:t>
            </w:r>
            <w:r>
              <w:rPr>
                <w:rFonts w:hint="default" w:ascii="Times New Roman" w:hAnsi="Times New Roman" w:eastAsia="仿宋_GB2312" w:cs="Times New Roman"/>
                <w:bCs/>
                <w:color w:val="auto"/>
                <w:sz w:val="24"/>
                <w:szCs w:val="24"/>
              </w:rPr>
              <w:t>落实和督促教授为本科生上课，</w:t>
            </w:r>
            <w:r>
              <w:rPr>
                <w:rFonts w:hint="default" w:ascii="Times New Roman" w:hAnsi="Times New Roman" w:eastAsia="仿宋_GB2312" w:cs="Times New Roman"/>
                <w:color w:val="auto"/>
                <w:sz w:val="24"/>
                <w:szCs w:val="24"/>
              </w:rPr>
              <w:t>无教学事故；</w:t>
            </w:r>
          </w:p>
          <w:p w14:paraId="6120E56D">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2.教学大纲、授课计划、教案、课件等教学材料规范完整，按时归档；</w:t>
            </w:r>
          </w:p>
          <w:p w14:paraId="23D714E4">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3.参与制订本科人才培养计划、编写修订教学大纲及授课计划情况；</w:t>
            </w:r>
          </w:p>
        </w:tc>
      </w:tr>
      <w:tr w14:paraId="5E8B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noWrap w:val="0"/>
            <w:vAlign w:val="top"/>
          </w:tcPr>
          <w:p w14:paraId="5CCC74E5">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课程建设（20分）</w:t>
            </w:r>
          </w:p>
        </w:tc>
        <w:tc>
          <w:tcPr>
            <w:tcW w:w="5826" w:type="dxa"/>
            <w:noWrap w:val="0"/>
            <w:vAlign w:val="top"/>
          </w:tcPr>
          <w:p w14:paraId="41B6A04E">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1.优化课程体系，制订课程（群）教学质量标准，实施教学质量自我评估；</w:t>
            </w:r>
          </w:p>
          <w:p w14:paraId="30C7EC9B">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2.建设国家级、省部级、校级优秀课程情况；</w:t>
            </w:r>
          </w:p>
          <w:p w14:paraId="6F0C4B97">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3.课程思政建设情况；</w:t>
            </w:r>
          </w:p>
          <w:p w14:paraId="4226F103">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4.学评课情况；</w:t>
            </w:r>
          </w:p>
          <w:p w14:paraId="64D0C299">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5.课堂教学创新、数字化教学资源建设情况</w:t>
            </w:r>
            <w:r>
              <w:rPr>
                <w:rFonts w:hint="eastAsia" w:cs="Times New Roman"/>
                <w:color w:val="auto"/>
                <w:sz w:val="24"/>
                <w:szCs w:val="24"/>
                <w:lang w:eastAsia="zh-CN"/>
              </w:rPr>
              <w:t>；</w:t>
            </w:r>
          </w:p>
          <w:p w14:paraId="4DF5BBA4">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lang w:val="en-US" w:eastAsia="zh-CN"/>
              </w:rPr>
            </w:pPr>
            <w:r>
              <w:rPr>
                <w:rFonts w:hint="eastAsia" w:cs="Times New Roman"/>
                <w:color w:val="auto"/>
                <w:sz w:val="24"/>
                <w:szCs w:val="24"/>
                <w:highlight w:val="none"/>
                <w:lang w:val="en-US" w:eastAsia="zh-CN"/>
              </w:rPr>
              <w:t>6、人工智能赋能课程建设情况。</w:t>
            </w:r>
          </w:p>
        </w:tc>
      </w:tr>
      <w:tr w14:paraId="40F1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noWrap w:val="0"/>
            <w:vAlign w:val="top"/>
          </w:tcPr>
          <w:p w14:paraId="1BE49747">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教材建设（10分）</w:t>
            </w:r>
          </w:p>
        </w:tc>
        <w:tc>
          <w:tcPr>
            <w:tcW w:w="5826" w:type="dxa"/>
            <w:noWrap w:val="0"/>
            <w:vAlign w:val="top"/>
          </w:tcPr>
          <w:p w14:paraId="7F41F86B">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1.教材选用审核情况；</w:t>
            </w:r>
          </w:p>
          <w:p w14:paraId="6B4F2F7F">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2.教材编写情况；</w:t>
            </w:r>
          </w:p>
          <w:p w14:paraId="417B9BE4">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3.建设国家级、省部级、校级优秀教材情况</w:t>
            </w:r>
            <w:r>
              <w:rPr>
                <w:rFonts w:hint="eastAsia" w:cs="Times New Roman"/>
                <w:color w:val="auto"/>
                <w:sz w:val="24"/>
                <w:szCs w:val="24"/>
                <w:lang w:eastAsia="zh-CN"/>
              </w:rPr>
              <w:t>；</w:t>
            </w:r>
          </w:p>
          <w:p w14:paraId="597B1FAC">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lang w:val="en-US" w:eastAsia="zh-CN"/>
              </w:rPr>
            </w:pPr>
            <w:r>
              <w:rPr>
                <w:rFonts w:hint="eastAsia" w:cs="Times New Roman"/>
                <w:color w:val="auto"/>
                <w:sz w:val="24"/>
                <w:szCs w:val="24"/>
                <w:lang w:val="en-US" w:eastAsia="zh-CN"/>
              </w:rPr>
              <w:t>4、数字化教材建设情况。</w:t>
            </w:r>
          </w:p>
        </w:tc>
      </w:tr>
      <w:tr w14:paraId="4911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noWrap w:val="0"/>
            <w:vAlign w:val="top"/>
          </w:tcPr>
          <w:p w14:paraId="3744FC91">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教学研究与改革（20分）</w:t>
            </w:r>
          </w:p>
        </w:tc>
        <w:tc>
          <w:tcPr>
            <w:tcW w:w="5826" w:type="dxa"/>
            <w:noWrap w:val="0"/>
            <w:vAlign w:val="top"/>
          </w:tcPr>
          <w:p w14:paraId="7F8AC3D7">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1.面向学生、学习侧的教学模式改革与创新情况；</w:t>
            </w:r>
          </w:p>
          <w:p w14:paraId="6388F4D4">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2.实施OBE、课程思政、考试评价方式等改革措施；</w:t>
            </w:r>
          </w:p>
          <w:p w14:paraId="4643D9B3">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3.主持或参与校级及以上教改项目；</w:t>
            </w:r>
          </w:p>
          <w:p w14:paraId="53F4313F">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4.发表教学论文情况；</w:t>
            </w:r>
          </w:p>
          <w:p w14:paraId="113BF83F">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5.获得教学成果奖</w:t>
            </w:r>
            <w:r>
              <w:rPr>
                <w:rFonts w:hint="eastAsia" w:cs="Times New Roman"/>
                <w:color w:val="auto"/>
                <w:sz w:val="24"/>
                <w:szCs w:val="24"/>
                <w:lang w:eastAsia="zh-CN"/>
              </w:rPr>
              <w:t>；</w:t>
            </w:r>
            <w:bookmarkStart w:id="2" w:name="_GoBack"/>
            <w:bookmarkEnd w:id="2"/>
          </w:p>
          <w:p w14:paraId="3C382003">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auto"/>
                <w:sz w:val="24"/>
                <w:szCs w:val="24"/>
              </w:rPr>
            </w:pPr>
            <w:r>
              <w:rPr>
                <w:rFonts w:hint="eastAsia" w:cs="Times New Roman"/>
                <w:color w:val="auto"/>
                <w:sz w:val="24"/>
                <w:szCs w:val="24"/>
                <w:highlight w:val="none"/>
                <w:lang w:val="en-US" w:eastAsia="zh-CN"/>
              </w:rPr>
              <w:t>6、人工智能赋能教育教学改革情况。</w:t>
            </w:r>
          </w:p>
        </w:tc>
      </w:tr>
      <w:tr w14:paraId="302B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noWrap w:val="0"/>
            <w:vAlign w:val="top"/>
          </w:tcPr>
          <w:p w14:paraId="41EF97FC">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教研活动（10分）</w:t>
            </w:r>
          </w:p>
        </w:tc>
        <w:tc>
          <w:tcPr>
            <w:tcW w:w="5826" w:type="dxa"/>
            <w:noWrap w:val="0"/>
            <w:vAlign w:val="top"/>
          </w:tcPr>
          <w:p w14:paraId="6C98C5C6">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1.健全的教研工作制度，包括组织职责与分工、例会与集体备课、听评课与教学检查等；</w:t>
            </w:r>
          </w:p>
          <w:p w14:paraId="378F38EA">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2.完整的教学活动计划和活动记录，每一个基层教学组织每学期开展以教学为主题的专题教研活动应不少于4次，并形成会议记录备查。</w:t>
            </w:r>
          </w:p>
        </w:tc>
      </w:tr>
      <w:tr w14:paraId="640C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9" w:type="dxa"/>
            <w:noWrap w:val="0"/>
            <w:vAlign w:val="top"/>
          </w:tcPr>
          <w:p w14:paraId="740FC6DF">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教师发展（10分）</w:t>
            </w:r>
          </w:p>
        </w:tc>
        <w:tc>
          <w:tcPr>
            <w:tcW w:w="5826" w:type="dxa"/>
            <w:noWrap w:val="0"/>
            <w:vAlign w:val="top"/>
          </w:tcPr>
          <w:p w14:paraId="5CCF7416">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1.教师梯队合理，教师无学术不端、教学违规行为；</w:t>
            </w:r>
          </w:p>
          <w:p w14:paraId="616CBC80">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2.教师参加校内外培训和学术交流活动的时数与次数（不少于40学时/人、不少于2次/人）；</w:t>
            </w:r>
          </w:p>
          <w:p w14:paraId="22CA4B23">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3.教师参加教学竞赛的获奖情况（校级及以上）；</w:t>
            </w:r>
          </w:p>
          <w:p w14:paraId="750B0990">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4.组织相互听课、教学观摩、说课，开展同行评议情况；</w:t>
            </w:r>
          </w:p>
          <w:p w14:paraId="15E96FB7">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5.实施“传帮带”制度，落实青年教师助讲培养制度和新开课试讲。</w:t>
            </w:r>
          </w:p>
        </w:tc>
      </w:tr>
      <w:tr w14:paraId="2E33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noWrap w:val="0"/>
            <w:vAlign w:val="top"/>
          </w:tcPr>
          <w:p w14:paraId="34C18E6A">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学生培养（10分）</w:t>
            </w:r>
          </w:p>
        </w:tc>
        <w:tc>
          <w:tcPr>
            <w:tcW w:w="5826" w:type="dxa"/>
            <w:noWrap w:val="0"/>
            <w:vAlign w:val="top"/>
          </w:tcPr>
          <w:p w14:paraId="3EBB7715">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1.定期组织召开学生座谈会；</w:t>
            </w:r>
          </w:p>
          <w:p w14:paraId="5A6B71D2">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2.学生学业完成与过程性考核评价实施情况；</w:t>
            </w:r>
          </w:p>
          <w:p w14:paraId="1F455A61">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3.指导学生学科竞赛、创新创业项目获奖或立项情况。</w:t>
            </w:r>
          </w:p>
        </w:tc>
      </w:tr>
      <w:tr w14:paraId="3CA7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9" w:type="dxa"/>
            <w:noWrap w:val="0"/>
            <w:vAlign w:val="top"/>
          </w:tcPr>
          <w:p w14:paraId="373B6CCA">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创新性活动（10分）</w:t>
            </w:r>
          </w:p>
        </w:tc>
        <w:tc>
          <w:tcPr>
            <w:tcW w:w="5826" w:type="dxa"/>
            <w:noWrap w:val="0"/>
            <w:vAlign w:val="top"/>
          </w:tcPr>
          <w:p w14:paraId="40A44452">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创新性改革措施取得有效进展和成果，有典型经验可复制推广（如被媒体报道、校际交流）。</w:t>
            </w:r>
          </w:p>
        </w:tc>
      </w:tr>
    </w:tbl>
    <w:p w14:paraId="1CFA1B6E">
      <w:pPr>
        <w:rPr>
          <w:rFonts w:ascii="Times New Roman" w:hAnsi="Times New Roman" w:eastAsia="仿宋_GB2312" w:cs="Times New Roman"/>
          <w:bCs/>
          <w:color w:val="auto"/>
          <w:sz w:val="32"/>
          <w:szCs w:val="24"/>
        </w:rPr>
      </w:pPr>
    </w:p>
    <w:p w14:paraId="0A417C37">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ZTA2MWRiZTU1NjJhYzI3YjUzMDYzNmY0YjUwMDUifQ=="/>
  </w:docVars>
  <w:rsids>
    <w:rsidRoot w:val="00000000"/>
    <w:rsid w:val="00F84728"/>
    <w:rsid w:val="05820351"/>
    <w:rsid w:val="06500EB7"/>
    <w:rsid w:val="066E7114"/>
    <w:rsid w:val="0B9F2A1A"/>
    <w:rsid w:val="0C010EC0"/>
    <w:rsid w:val="0E0C31C8"/>
    <w:rsid w:val="15765E51"/>
    <w:rsid w:val="169802BE"/>
    <w:rsid w:val="17015E5A"/>
    <w:rsid w:val="17667DE9"/>
    <w:rsid w:val="18C47C0F"/>
    <w:rsid w:val="1904247D"/>
    <w:rsid w:val="19D606C1"/>
    <w:rsid w:val="1B1D6FF7"/>
    <w:rsid w:val="1B461DCC"/>
    <w:rsid w:val="1B8613E5"/>
    <w:rsid w:val="1B8D61D2"/>
    <w:rsid w:val="1C76287C"/>
    <w:rsid w:val="1DEE0A1E"/>
    <w:rsid w:val="1F987611"/>
    <w:rsid w:val="205457C6"/>
    <w:rsid w:val="222B5EB7"/>
    <w:rsid w:val="24282F9F"/>
    <w:rsid w:val="24BC16E7"/>
    <w:rsid w:val="25F833FA"/>
    <w:rsid w:val="28B32419"/>
    <w:rsid w:val="28D828F7"/>
    <w:rsid w:val="293D6888"/>
    <w:rsid w:val="2ADE401F"/>
    <w:rsid w:val="2BA10576"/>
    <w:rsid w:val="2BA411B4"/>
    <w:rsid w:val="351F2422"/>
    <w:rsid w:val="38773705"/>
    <w:rsid w:val="38BD1CDA"/>
    <w:rsid w:val="3AC0150E"/>
    <w:rsid w:val="3C1E714D"/>
    <w:rsid w:val="3CCD197B"/>
    <w:rsid w:val="3D9F5B40"/>
    <w:rsid w:val="3DD60F75"/>
    <w:rsid w:val="3E021D6A"/>
    <w:rsid w:val="3F110BE7"/>
    <w:rsid w:val="408D1A6C"/>
    <w:rsid w:val="42722742"/>
    <w:rsid w:val="46387A28"/>
    <w:rsid w:val="46FF4BB4"/>
    <w:rsid w:val="48DE19F6"/>
    <w:rsid w:val="49896742"/>
    <w:rsid w:val="4CB01A9B"/>
    <w:rsid w:val="501F1883"/>
    <w:rsid w:val="509713DA"/>
    <w:rsid w:val="5125491F"/>
    <w:rsid w:val="514F7040"/>
    <w:rsid w:val="5330762D"/>
    <w:rsid w:val="53510368"/>
    <w:rsid w:val="53A31980"/>
    <w:rsid w:val="568A43F4"/>
    <w:rsid w:val="57E970CA"/>
    <w:rsid w:val="58D2565A"/>
    <w:rsid w:val="594D46B1"/>
    <w:rsid w:val="5A6A1383"/>
    <w:rsid w:val="5BF054A6"/>
    <w:rsid w:val="5EE1401E"/>
    <w:rsid w:val="5FA774CE"/>
    <w:rsid w:val="601204AE"/>
    <w:rsid w:val="60AF57EF"/>
    <w:rsid w:val="630A5BB9"/>
    <w:rsid w:val="65367AFE"/>
    <w:rsid w:val="67646709"/>
    <w:rsid w:val="6BB5664E"/>
    <w:rsid w:val="6E664BCC"/>
    <w:rsid w:val="70294BFC"/>
    <w:rsid w:val="7191560C"/>
    <w:rsid w:val="72930C07"/>
    <w:rsid w:val="738B0024"/>
    <w:rsid w:val="755E5182"/>
    <w:rsid w:val="760C2380"/>
    <w:rsid w:val="7B437183"/>
    <w:rsid w:val="7BD17CC5"/>
    <w:rsid w:val="7EF85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