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BD2737">
      <w:pPr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  <w:t>浙江工业大学通识教育中心管理办法</w:t>
      </w:r>
    </w:p>
    <w:p w14:paraId="300E935E">
      <w:pPr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</w:pPr>
    </w:p>
    <w:p w14:paraId="1A31C9F4">
      <w:pPr>
        <w:adjustRightInd w:val="0"/>
        <w:snapToGrid w:val="0"/>
        <w:spacing w:line="520" w:lineRule="exact"/>
        <w:ind w:firstLine="560" w:firstLineChars="200"/>
        <w:jc w:val="left"/>
        <w:rPr>
          <w:rFonts w:ascii="仿宋_GB2312" w:hAnsi="仿宋_GB2312" w:cs="仿宋_GB2312"/>
          <w:color w:val="auto"/>
          <w:kern w:val="0"/>
          <w:sz w:val="28"/>
          <w:szCs w:val="28"/>
        </w:rPr>
      </w:pPr>
      <w:r>
        <w:rPr>
          <w:rFonts w:hint="eastAsia" w:ascii="仿宋_GB2312" w:hAnsi="仿宋_GB2312" w:cs="仿宋_GB2312"/>
          <w:color w:val="auto"/>
          <w:kern w:val="0"/>
          <w:sz w:val="28"/>
          <w:szCs w:val="28"/>
        </w:rPr>
        <w:t>通识教育中心按培养方案中通识选修模块课程设置，分为人文情怀、艺术修养、科学素养、人工智能、社会责任、国际视野、创新创业等7个中心，由学校委托学院</w:t>
      </w:r>
      <w:r>
        <w:rPr>
          <w:rFonts w:hint="eastAsia" w:ascii="仿宋_GB2312" w:hAnsi="仿宋_GB2312" w:cs="仿宋_GB2312"/>
          <w:color w:val="auto"/>
          <w:kern w:val="0"/>
          <w:sz w:val="28"/>
          <w:szCs w:val="28"/>
          <w:lang w:val="en-US" w:eastAsia="zh-CN"/>
        </w:rPr>
        <w:t>代</w:t>
      </w:r>
      <w:r>
        <w:rPr>
          <w:rFonts w:hint="eastAsia" w:ascii="仿宋_GB2312" w:hAnsi="仿宋_GB2312" w:cs="仿宋_GB2312"/>
          <w:color w:val="auto"/>
          <w:kern w:val="0"/>
          <w:sz w:val="28"/>
          <w:szCs w:val="28"/>
        </w:rPr>
        <w:t>管。</w:t>
      </w:r>
    </w:p>
    <w:p w14:paraId="21954CA4">
      <w:pPr>
        <w:adjustRightInd w:val="0"/>
        <w:snapToGrid w:val="0"/>
        <w:spacing w:line="520" w:lineRule="exact"/>
        <w:ind w:firstLine="560" w:firstLineChars="200"/>
        <w:jc w:val="left"/>
        <w:rPr>
          <w:rFonts w:ascii="仿宋_GB2312" w:hAnsi="仿宋_GB2312" w:cs="仿宋_GB2312"/>
          <w:color w:val="auto"/>
          <w:kern w:val="0"/>
          <w:sz w:val="28"/>
          <w:szCs w:val="28"/>
        </w:rPr>
      </w:pPr>
      <w:r>
        <w:rPr>
          <w:rFonts w:hint="eastAsia" w:ascii="仿宋_GB2312" w:hAnsi="仿宋_GB2312" w:cs="仿宋_GB2312"/>
          <w:color w:val="auto"/>
          <w:kern w:val="0"/>
          <w:sz w:val="28"/>
          <w:szCs w:val="28"/>
        </w:rPr>
        <w:t>为规范通识教育中心管理，提高通识选修课程教学质量，特制定本办法。</w:t>
      </w:r>
    </w:p>
    <w:p w14:paraId="6D9140C5">
      <w:pPr>
        <w:numPr>
          <w:ilvl w:val="0"/>
          <w:numId w:val="1"/>
        </w:numPr>
        <w:adjustRightInd w:val="0"/>
        <w:snapToGrid w:val="0"/>
        <w:spacing w:line="520" w:lineRule="exact"/>
        <w:ind w:firstLine="562" w:firstLineChars="200"/>
        <w:rPr>
          <w:rFonts w:ascii="黑体" w:hAnsi="黑体" w:eastAsia="黑体" w:cs="黑体"/>
          <w:b/>
          <w:bCs/>
          <w:color w:val="auto"/>
          <w:kern w:val="0"/>
          <w:sz w:val="28"/>
          <w:szCs w:val="28"/>
        </w:rPr>
      </w:pPr>
      <w:r>
        <w:rPr>
          <w:rFonts w:hint="eastAsia" w:ascii="黑体" w:hAnsi="黑体" w:eastAsia="黑体" w:cs="黑体"/>
          <w:b/>
          <w:bCs/>
          <w:color w:val="auto"/>
          <w:kern w:val="0"/>
          <w:sz w:val="28"/>
          <w:szCs w:val="28"/>
        </w:rPr>
        <w:t>中心职责</w:t>
      </w:r>
    </w:p>
    <w:p w14:paraId="4806E4C5">
      <w:pPr>
        <w:adjustRightInd w:val="0"/>
        <w:snapToGrid w:val="0"/>
        <w:spacing w:line="520" w:lineRule="exact"/>
        <w:ind w:firstLine="560" w:firstLineChars="200"/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lang w:eastAsia="zh-CN"/>
        </w:rPr>
      </w:pPr>
      <w:r>
        <w:rPr>
          <w:rFonts w:hint="eastAsia" w:ascii="仿宋_GB2312" w:hAnsi="仿宋_GB2312" w:cs="仿宋_GB2312"/>
          <w:color w:val="auto"/>
          <w:kern w:val="0"/>
          <w:sz w:val="28"/>
          <w:szCs w:val="28"/>
        </w:rPr>
        <w:t>顺应时代发展潮流，立足学校学科专业优势，紧扣人才培养需求，持续优化通识选修课程的建设与管理，强化教学质量监控，定期组织课程教师开展教学研讨活动。在此基础上，深入总结通识选修课程建设经验，进一步丰富课程种类，合理安排各校区课程分布，优化课程教学内容，强化能力培养</w:t>
      </w:r>
      <w:r>
        <w:rPr>
          <w:rFonts w:hint="eastAsia" w:ascii="仿宋_GB2312" w:hAnsi="仿宋_GB2312" w:cs="仿宋_GB2312"/>
          <w:color w:val="auto"/>
          <w:kern w:val="0"/>
          <w:sz w:val="28"/>
          <w:szCs w:val="28"/>
          <w:lang w:eastAsia="zh-CN"/>
        </w:rPr>
        <w:t>，</w:t>
      </w:r>
      <w:r>
        <w:rPr>
          <w:rFonts w:hint="eastAsia" w:ascii="仿宋_GB2312" w:hAnsi="仿宋_GB2312" w:cs="仿宋_GB2312"/>
          <w:color w:val="auto"/>
          <w:kern w:val="0"/>
          <w:sz w:val="28"/>
          <w:szCs w:val="28"/>
        </w:rPr>
        <w:t>全面提升学生综合素质</w:t>
      </w:r>
      <w:r>
        <w:rPr>
          <w:rFonts w:hint="eastAsia" w:ascii="仿宋_GB2312" w:hAnsi="仿宋_GB2312" w:cs="仿宋_GB2312"/>
          <w:color w:val="auto"/>
          <w:kern w:val="0"/>
          <w:sz w:val="28"/>
          <w:szCs w:val="28"/>
          <w:lang w:eastAsia="zh-CN"/>
        </w:rPr>
        <w:t>。</w:t>
      </w:r>
    </w:p>
    <w:p w14:paraId="39881E3B">
      <w:pPr>
        <w:adjustRightInd w:val="0"/>
        <w:snapToGrid w:val="0"/>
        <w:spacing w:line="520" w:lineRule="exact"/>
        <w:ind w:firstLine="562" w:firstLineChars="200"/>
        <w:rPr>
          <w:rFonts w:ascii="楷体_GB2312" w:hAnsi="楷体_GB2312" w:eastAsia="楷体_GB2312" w:cs="楷体_GB2312"/>
          <w:b/>
          <w:bCs/>
          <w:color w:val="auto"/>
          <w:kern w:val="0"/>
          <w:sz w:val="28"/>
          <w:szCs w:val="28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kern w:val="0"/>
          <w:sz w:val="28"/>
          <w:szCs w:val="28"/>
        </w:rPr>
        <w:t xml:space="preserve">（一）课程建设规划与实施 </w:t>
      </w:r>
    </w:p>
    <w:p w14:paraId="6F1ABCA2">
      <w:pPr>
        <w:adjustRightInd w:val="0"/>
        <w:snapToGrid w:val="0"/>
        <w:spacing w:line="520" w:lineRule="exact"/>
        <w:ind w:firstLine="640"/>
        <w:rPr>
          <w:rFonts w:ascii="仿宋_GB2312" w:hAnsi="仿宋_GB2312" w:cs="仿宋_GB2312"/>
          <w:color w:val="auto"/>
          <w:kern w:val="0"/>
          <w:sz w:val="28"/>
          <w:szCs w:val="28"/>
        </w:rPr>
      </w:pPr>
      <w:r>
        <w:rPr>
          <w:rFonts w:hint="eastAsia" w:ascii="仿宋_GB2312" w:hAnsi="仿宋_GB2312" w:cs="仿宋_GB2312"/>
          <w:color w:val="auto"/>
          <w:kern w:val="0"/>
          <w:sz w:val="28"/>
          <w:szCs w:val="28"/>
        </w:rPr>
        <w:t>坚守德智体美劳“五育”并举的初心和使命，结合通识教育发展趋势和学校通识教育现状，聚焦学生核心素养培养，做好通识选修模块课程建设顶层设计，制定并组织实施通识选修模块课程建设规划，建构基于本校通识教育要求的课程体系，</w:t>
      </w:r>
      <w:r>
        <w:rPr>
          <w:rFonts w:hint="eastAsia" w:ascii="仿宋_GB2312" w:hAnsi="仿宋_GB2312" w:cs="仿宋_GB2312"/>
          <w:color w:val="auto"/>
          <w:kern w:val="0"/>
          <w:sz w:val="28"/>
          <w:szCs w:val="28"/>
          <w:lang w:val="en-US" w:eastAsia="zh-CN"/>
        </w:rPr>
        <w:t>提出</w:t>
      </w:r>
      <w:r>
        <w:rPr>
          <w:rFonts w:hint="eastAsia" w:ascii="仿宋_GB2312" w:hAnsi="仿宋_GB2312" w:cs="仿宋_GB2312"/>
          <w:color w:val="auto"/>
          <w:kern w:val="0"/>
          <w:sz w:val="28"/>
          <w:szCs w:val="28"/>
        </w:rPr>
        <w:t>通识选修模块课程建设</w:t>
      </w:r>
      <w:r>
        <w:rPr>
          <w:rFonts w:hint="eastAsia" w:ascii="仿宋_GB2312" w:hAnsi="仿宋_GB2312" w:cs="仿宋_GB2312"/>
          <w:color w:val="auto"/>
          <w:kern w:val="0"/>
          <w:sz w:val="28"/>
          <w:szCs w:val="28"/>
          <w:lang w:val="en-US" w:eastAsia="zh-CN"/>
        </w:rPr>
        <w:t>要求</w:t>
      </w:r>
      <w:r>
        <w:rPr>
          <w:rFonts w:hint="eastAsia" w:ascii="仿宋_GB2312" w:hAnsi="仿宋_GB2312" w:cs="仿宋_GB2312"/>
          <w:color w:val="auto"/>
          <w:kern w:val="0"/>
          <w:sz w:val="28"/>
          <w:szCs w:val="28"/>
        </w:rPr>
        <w:t>；深化通识选修课程及其课程思政建设，建设一批高水平、有特色、长期稳定开设的高质量通识教育品牌课程；增加优质通识选修课程供给，提高通识选修课程覆盖面，力争为学生提供充足而丰富多彩的多学科通识课程资源，帮助学生了解不同学科的知识及思维方法，启迪心智，健全人格，为学生成为博学多才、具有发展潜力的高素质人才创造条件。</w:t>
      </w:r>
    </w:p>
    <w:p w14:paraId="0165F49C">
      <w:pPr>
        <w:adjustRightInd w:val="0"/>
        <w:snapToGrid w:val="0"/>
        <w:spacing w:line="520" w:lineRule="exact"/>
        <w:ind w:left="642"/>
        <w:rPr>
          <w:rFonts w:ascii="楷体_GB2312" w:hAnsi="楷体_GB2312" w:eastAsia="楷体_GB2312" w:cs="楷体_GB2312"/>
          <w:b/>
          <w:bCs/>
          <w:color w:val="auto"/>
          <w:kern w:val="0"/>
          <w:sz w:val="28"/>
          <w:szCs w:val="28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kern w:val="0"/>
          <w:sz w:val="28"/>
          <w:szCs w:val="28"/>
        </w:rPr>
        <w:t>（二）课程教学质量管理</w:t>
      </w:r>
    </w:p>
    <w:p w14:paraId="609B344E">
      <w:pPr>
        <w:adjustRightInd w:val="0"/>
        <w:snapToGrid w:val="0"/>
        <w:spacing w:line="520" w:lineRule="exact"/>
        <w:ind w:firstLine="640"/>
        <w:rPr>
          <w:rFonts w:ascii="仿宋_GB2312" w:hAnsi="仿宋_GB2312" w:cs="仿宋_GB2312"/>
          <w:color w:val="auto"/>
          <w:kern w:val="0"/>
          <w:sz w:val="28"/>
          <w:szCs w:val="28"/>
        </w:rPr>
      </w:pPr>
      <w:r>
        <w:rPr>
          <w:rFonts w:hint="eastAsia" w:ascii="仿宋_GB2312" w:hAnsi="仿宋_GB2312" w:cs="仿宋_GB2312"/>
          <w:color w:val="auto"/>
          <w:kern w:val="0"/>
          <w:sz w:val="28"/>
          <w:szCs w:val="28"/>
        </w:rPr>
        <w:t>通识教育中心负责相应</w:t>
      </w:r>
      <w:bookmarkStart w:id="0" w:name="OLE_LINK2"/>
      <w:r>
        <w:rPr>
          <w:rFonts w:hint="eastAsia" w:ascii="仿宋_GB2312" w:hAnsi="仿宋_GB2312" w:cs="仿宋_GB2312"/>
          <w:color w:val="auto"/>
          <w:kern w:val="0"/>
          <w:sz w:val="28"/>
          <w:szCs w:val="28"/>
        </w:rPr>
        <w:t>通识选修模块课程教学质量管理</w:t>
      </w:r>
      <w:bookmarkEnd w:id="0"/>
      <w:r>
        <w:rPr>
          <w:rFonts w:hint="eastAsia" w:ascii="仿宋_GB2312" w:hAnsi="仿宋_GB2312" w:cs="仿宋_GB2312"/>
          <w:color w:val="auto"/>
          <w:kern w:val="0"/>
          <w:sz w:val="28"/>
          <w:szCs w:val="28"/>
        </w:rPr>
        <w:t>。申请新开的通识选修课程经中心评审通过后，报学校通识课程教学指导委员会；经委员会审定的课程，纳入通识选修课程相应模块供学生选修。新开设的通识选修课，学分原则上不超过2学分，具体的课程教学要求、教学工作量计算等，均与必修课一致。中心应建立课程质量持续改进机制，</w:t>
      </w:r>
      <w:r>
        <w:rPr>
          <w:rFonts w:hint="eastAsia" w:ascii="仿宋_GB2312" w:hAnsi="仿宋_GB2312" w:cs="仿宋_GB2312"/>
          <w:color w:val="auto"/>
          <w:kern w:val="0"/>
          <w:sz w:val="28"/>
          <w:szCs w:val="28"/>
          <w:lang w:val="en-US" w:eastAsia="zh-CN"/>
        </w:rPr>
        <w:t>聘请督导</w:t>
      </w:r>
      <w:r>
        <w:rPr>
          <w:rFonts w:hint="eastAsia" w:ascii="仿宋_GB2312" w:hAnsi="仿宋_GB2312" w:cs="仿宋_GB2312"/>
          <w:color w:val="auto"/>
          <w:kern w:val="0"/>
          <w:sz w:val="28"/>
          <w:szCs w:val="28"/>
        </w:rPr>
        <w:t>对通识选修课程进行</w:t>
      </w:r>
      <w:r>
        <w:rPr>
          <w:rFonts w:hint="eastAsia" w:ascii="仿宋_GB2312" w:hAnsi="仿宋_GB2312" w:cs="仿宋_GB2312"/>
          <w:color w:val="auto"/>
          <w:kern w:val="0"/>
          <w:sz w:val="28"/>
          <w:szCs w:val="28"/>
          <w:lang w:val="en-US" w:eastAsia="zh-CN"/>
        </w:rPr>
        <w:t>经常性</w:t>
      </w:r>
      <w:r>
        <w:rPr>
          <w:rFonts w:hint="eastAsia" w:ascii="仿宋_GB2312" w:hAnsi="仿宋_GB2312" w:cs="仿宋_GB2312"/>
          <w:color w:val="auto"/>
          <w:kern w:val="0"/>
          <w:sz w:val="28"/>
          <w:szCs w:val="28"/>
        </w:rPr>
        <w:t>听课、评议，对课程教学质量进行</w:t>
      </w:r>
      <w:r>
        <w:rPr>
          <w:rFonts w:hint="eastAsia" w:ascii="仿宋_GB2312" w:hAnsi="仿宋_GB2312" w:cs="仿宋_GB2312"/>
          <w:color w:val="auto"/>
          <w:kern w:val="0"/>
          <w:sz w:val="28"/>
          <w:szCs w:val="28"/>
          <w:lang w:val="en-US" w:eastAsia="zh-CN"/>
        </w:rPr>
        <w:t>监控、</w:t>
      </w:r>
      <w:r>
        <w:rPr>
          <w:rFonts w:hint="eastAsia" w:ascii="仿宋_GB2312" w:hAnsi="仿宋_GB2312" w:cs="仿宋_GB2312"/>
          <w:color w:val="auto"/>
          <w:kern w:val="0"/>
          <w:sz w:val="28"/>
          <w:szCs w:val="28"/>
        </w:rPr>
        <w:t>评估，提出改进建议</w:t>
      </w:r>
      <w:r>
        <w:rPr>
          <w:rFonts w:hint="eastAsia" w:ascii="仿宋_GB2312" w:hAnsi="仿宋_GB2312" w:cs="仿宋_GB2312"/>
          <w:color w:val="auto"/>
          <w:kern w:val="0"/>
          <w:sz w:val="28"/>
          <w:szCs w:val="28"/>
          <w:lang w:eastAsia="zh-CN"/>
        </w:rPr>
        <w:t>；</w:t>
      </w:r>
      <w:r>
        <w:rPr>
          <w:rFonts w:hint="eastAsia" w:ascii="仿宋_GB2312" w:hAnsi="仿宋_GB2312" w:cs="仿宋_GB2312"/>
          <w:color w:val="auto"/>
          <w:kern w:val="0"/>
          <w:sz w:val="28"/>
          <w:szCs w:val="28"/>
        </w:rPr>
        <w:t>定期跟踪课程教学改进情况，促进通识选修</w:t>
      </w:r>
      <w:r>
        <w:rPr>
          <w:rFonts w:hint="eastAsia" w:ascii="仿宋_GB2312" w:hAnsi="仿宋_GB2312" w:cs="仿宋_GB2312"/>
          <w:color w:val="auto"/>
          <w:kern w:val="0"/>
          <w:sz w:val="28"/>
          <w:szCs w:val="28"/>
          <w:lang w:val="en-US" w:eastAsia="zh-CN"/>
        </w:rPr>
        <w:t>课程</w:t>
      </w:r>
      <w:bookmarkStart w:id="4" w:name="_GoBack"/>
      <w:bookmarkEnd w:id="4"/>
      <w:r>
        <w:rPr>
          <w:rFonts w:hint="eastAsia" w:ascii="仿宋_GB2312" w:hAnsi="仿宋_GB2312" w:cs="仿宋_GB2312"/>
          <w:color w:val="auto"/>
          <w:kern w:val="0"/>
          <w:sz w:val="28"/>
          <w:szCs w:val="28"/>
        </w:rPr>
        <w:t>的教学质量不断提升。通过对通识选修课程的有效管理，动态优化通识选修课程设置，挤“水课”，建“金课”，</w:t>
      </w:r>
      <w:r>
        <w:rPr>
          <w:rFonts w:hint="eastAsia" w:ascii="仿宋_GB2312" w:hAnsi="仿宋_GB2312" w:cs="仿宋_GB2312"/>
          <w:color w:val="auto"/>
          <w:kern w:val="0"/>
          <w:sz w:val="28"/>
          <w:szCs w:val="28"/>
          <w:lang w:val="en-US" w:eastAsia="zh-CN"/>
        </w:rPr>
        <w:t>促进</w:t>
      </w:r>
      <w:r>
        <w:rPr>
          <w:rFonts w:hint="eastAsia" w:ascii="仿宋_GB2312" w:hAnsi="仿宋_GB2312" w:cs="仿宋_GB2312"/>
          <w:color w:val="auto"/>
          <w:kern w:val="0"/>
          <w:sz w:val="28"/>
          <w:szCs w:val="28"/>
        </w:rPr>
        <w:t>我校通识选修课程教学</w:t>
      </w:r>
      <w:r>
        <w:rPr>
          <w:rFonts w:hint="eastAsia" w:ascii="仿宋_GB2312" w:hAnsi="仿宋_GB2312" w:cs="仿宋_GB2312"/>
          <w:color w:val="auto"/>
          <w:kern w:val="0"/>
          <w:sz w:val="28"/>
          <w:szCs w:val="28"/>
          <w:lang w:val="en-US" w:eastAsia="zh-CN"/>
        </w:rPr>
        <w:t>质量稳步提高</w:t>
      </w:r>
      <w:r>
        <w:rPr>
          <w:rFonts w:hint="eastAsia" w:ascii="仿宋_GB2312" w:hAnsi="仿宋_GB2312" w:cs="仿宋_GB2312"/>
          <w:color w:val="auto"/>
          <w:kern w:val="0"/>
          <w:sz w:val="28"/>
          <w:szCs w:val="28"/>
        </w:rPr>
        <w:t>。</w:t>
      </w:r>
    </w:p>
    <w:p w14:paraId="14C178B4">
      <w:pPr>
        <w:adjustRightInd w:val="0"/>
        <w:snapToGrid w:val="0"/>
        <w:spacing w:line="520" w:lineRule="exact"/>
        <w:ind w:firstLine="640"/>
        <w:rPr>
          <w:rFonts w:ascii="仿宋_GB2312" w:hAnsi="仿宋_GB2312" w:cs="仿宋_GB2312"/>
          <w:color w:val="auto"/>
          <w:kern w:val="0"/>
          <w:sz w:val="28"/>
          <w:szCs w:val="28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kern w:val="0"/>
          <w:sz w:val="28"/>
          <w:szCs w:val="28"/>
        </w:rPr>
        <w:t>（三）课程教学研究与实践</w:t>
      </w:r>
    </w:p>
    <w:p w14:paraId="58865143">
      <w:pPr>
        <w:adjustRightInd w:val="0"/>
        <w:snapToGrid w:val="0"/>
        <w:spacing w:line="520" w:lineRule="exact"/>
        <w:ind w:firstLine="560" w:firstLineChars="200"/>
        <w:rPr>
          <w:rFonts w:ascii="仿宋_GB2312" w:hAnsi="仿宋_GB2312" w:cs="仿宋_GB2312"/>
          <w:color w:val="auto"/>
          <w:kern w:val="0"/>
          <w:sz w:val="28"/>
          <w:szCs w:val="28"/>
        </w:rPr>
      </w:pPr>
      <w:r>
        <w:rPr>
          <w:rFonts w:hint="eastAsia" w:ascii="仿宋_GB2312" w:hAnsi="仿宋_GB2312" w:cs="仿宋_GB2312"/>
          <w:color w:val="auto"/>
          <w:kern w:val="0"/>
          <w:sz w:val="28"/>
          <w:szCs w:val="28"/>
        </w:rPr>
        <w:t>通识教育中心应</w:t>
      </w:r>
      <w:r>
        <w:rPr>
          <w:rFonts w:hint="eastAsia" w:ascii="仿宋_GB2312" w:hAnsi="仿宋_GB2312" w:cs="仿宋_GB2312"/>
          <w:color w:val="auto"/>
          <w:sz w:val="28"/>
          <w:szCs w:val="28"/>
          <w:lang w:val="zh-CN"/>
        </w:rPr>
        <w:t>开展</w:t>
      </w:r>
      <w:r>
        <w:rPr>
          <w:rFonts w:hint="eastAsia" w:ascii="仿宋_GB2312" w:hAnsi="仿宋_GB2312" w:cs="仿宋_GB2312"/>
          <w:color w:val="auto"/>
          <w:sz w:val="28"/>
          <w:szCs w:val="28"/>
        </w:rPr>
        <w:t>形式多样的</w:t>
      </w:r>
      <w:r>
        <w:rPr>
          <w:rFonts w:hint="eastAsia" w:ascii="仿宋_GB2312" w:hAnsi="仿宋_GB2312" w:cs="仿宋_GB2312"/>
          <w:color w:val="auto"/>
          <w:sz w:val="28"/>
          <w:szCs w:val="28"/>
          <w:lang w:val="zh-CN"/>
        </w:rPr>
        <w:t>通识选修课程</w:t>
      </w:r>
      <w:r>
        <w:rPr>
          <w:rFonts w:hint="eastAsia" w:ascii="仿宋_GB2312" w:hAnsi="仿宋_GB2312" w:cs="仿宋_GB2312"/>
          <w:color w:val="auto"/>
          <w:sz w:val="28"/>
          <w:szCs w:val="28"/>
        </w:rPr>
        <w:t>教学</w:t>
      </w:r>
      <w:r>
        <w:rPr>
          <w:rFonts w:hint="eastAsia" w:ascii="仿宋_GB2312" w:hAnsi="仿宋_GB2312" w:cs="仿宋_GB2312"/>
          <w:color w:val="auto"/>
          <w:sz w:val="28"/>
          <w:szCs w:val="28"/>
          <w:lang w:val="zh-CN"/>
        </w:rPr>
        <w:t>经验交流</w:t>
      </w:r>
      <w:r>
        <w:rPr>
          <w:rFonts w:hint="eastAsia" w:ascii="仿宋_GB2312" w:hAnsi="仿宋_GB2312" w:cs="仿宋_GB2312"/>
          <w:color w:val="auto"/>
          <w:sz w:val="28"/>
          <w:szCs w:val="28"/>
        </w:rPr>
        <w:t>和教学研讨</w:t>
      </w:r>
      <w:r>
        <w:rPr>
          <w:rFonts w:hint="eastAsia" w:ascii="仿宋_GB2312" w:hAnsi="仿宋_GB2312" w:cs="仿宋_GB2312"/>
          <w:color w:val="auto"/>
          <w:sz w:val="28"/>
          <w:szCs w:val="28"/>
          <w:lang w:val="zh-CN"/>
        </w:rPr>
        <w:t>活动，</w:t>
      </w:r>
      <w:r>
        <w:rPr>
          <w:rFonts w:hint="eastAsia" w:ascii="仿宋_GB2312" w:hAnsi="仿宋_GB2312" w:cs="仿宋_GB2312"/>
          <w:color w:val="auto"/>
          <w:sz w:val="28"/>
          <w:szCs w:val="28"/>
        </w:rPr>
        <w:t>不断丰富和提升教师对通识选修课程的认识，</w:t>
      </w:r>
      <w:r>
        <w:rPr>
          <w:rFonts w:hint="eastAsia" w:ascii="仿宋_GB2312" w:hAnsi="仿宋_GB2312" w:cs="仿宋_GB2312"/>
          <w:color w:val="auto"/>
          <w:sz w:val="28"/>
          <w:szCs w:val="28"/>
          <w:lang w:val="zh-CN"/>
        </w:rPr>
        <w:t>鼓励</w:t>
      </w:r>
      <w:r>
        <w:rPr>
          <w:rFonts w:hint="eastAsia" w:ascii="仿宋_GB2312" w:hAnsi="仿宋_GB2312" w:cs="仿宋_GB2312"/>
          <w:color w:val="auto"/>
          <w:sz w:val="28"/>
          <w:szCs w:val="28"/>
        </w:rPr>
        <w:t>教师</w:t>
      </w:r>
      <w:r>
        <w:rPr>
          <w:rFonts w:hint="eastAsia" w:ascii="仿宋_GB2312" w:hAnsi="仿宋_GB2312" w:cs="仿宋_GB2312"/>
          <w:color w:val="auto"/>
          <w:sz w:val="28"/>
          <w:szCs w:val="28"/>
          <w:lang w:val="zh-CN"/>
        </w:rPr>
        <w:t>相互听课、教学观摩，</w:t>
      </w:r>
      <w:r>
        <w:rPr>
          <w:rFonts w:hint="eastAsia" w:ascii="仿宋_GB2312" w:hAnsi="仿宋_GB2312" w:cs="仿宋_GB2312"/>
          <w:color w:val="auto"/>
          <w:sz w:val="28"/>
          <w:szCs w:val="28"/>
        </w:rPr>
        <w:t>创新课程教学方法，提高课程教学质量。</w:t>
      </w:r>
      <w:r>
        <w:rPr>
          <w:rFonts w:hint="eastAsia" w:ascii="仿宋_GB2312" w:hAnsi="仿宋_GB2312" w:cs="仿宋_GB2312"/>
          <w:color w:val="auto"/>
          <w:sz w:val="28"/>
          <w:szCs w:val="28"/>
          <w:lang w:val="zh-CN"/>
        </w:rPr>
        <w:t>充分利用新媒体网络平台，传播通识选修课程的教育理念和实践成果，营造</w:t>
      </w:r>
      <w:r>
        <w:rPr>
          <w:rFonts w:hint="eastAsia" w:ascii="仿宋_GB2312" w:hAnsi="仿宋_GB2312" w:cs="仿宋_GB2312"/>
          <w:color w:val="auto"/>
          <w:sz w:val="28"/>
          <w:szCs w:val="28"/>
        </w:rPr>
        <w:t>广大教师</w:t>
      </w:r>
      <w:r>
        <w:rPr>
          <w:rFonts w:hint="eastAsia" w:ascii="仿宋_GB2312" w:hAnsi="仿宋_GB2312" w:cs="仿宋_GB2312"/>
          <w:color w:val="auto"/>
          <w:sz w:val="28"/>
          <w:szCs w:val="28"/>
          <w:lang w:val="zh-CN"/>
        </w:rPr>
        <w:t>关心通识教育、</w:t>
      </w:r>
      <w:r>
        <w:rPr>
          <w:rFonts w:hint="eastAsia" w:ascii="仿宋_GB2312" w:hAnsi="仿宋_GB2312" w:cs="仿宋_GB2312"/>
          <w:color w:val="auto"/>
          <w:sz w:val="28"/>
          <w:szCs w:val="28"/>
        </w:rPr>
        <w:t>积极</w:t>
      </w:r>
      <w:r>
        <w:rPr>
          <w:rFonts w:hint="eastAsia" w:ascii="仿宋_GB2312" w:hAnsi="仿宋_GB2312" w:cs="仿宋_GB2312"/>
          <w:color w:val="auto"/>
          <w:sz w:val="28"/>
          <w:szCs w:val="28"/>
          <w:lang w:val="zh-CN"/>
        </w:rPr>
        <w:t>参与通识教育的浓厚氛围。</w:t>
      </w:r>
      <w:r>
        <w:rPr>
          <w:rFonts w:hint="eastAsia" w:ascii="仿宋_GB2312" w:hAnsi="仿宋_GB2312" w:cs="仿宋_GB2312"/>
          <w:color w:val="auto"/>
          <w:sz w:val="28"/>
          <w:szCs w:val="28"/>
        </w:rPr>
        <w:t>每学期开展以教学为主题的专题教研活动应不少于 4 次，并形成</w:t>
      </w:r>
      <w:r>
        <w:rPr>
          <w:rFonts w:hint="eastAsia" w:ascii="仿宋_GB2312" w:hAnsi="仿宋_GB2312" w:cs="仿宋_GB2312"/>
          <w:color w:val="auto"/>
          <w:sz w:val="28"/>
          <w:szCs w:val="28"/>
          <w:lang w:val="en-US" w:eastAsia="zh-CN"/>
        </w:rPr>
        <w:t>活动</w:t>
      </w:r>
      <w:r>
        <w:rPr>
          <w:rFonts w:hint="eastAsia" w:ascii="仿宋_GB2312" w:hAnsi="仿宋_GB2312" w:cs="仿宋_GB2312"/>
          <w:color w:val="auto"/>
          <w:sz w:val="28"/>
          <w:szCs w:val="28"/>
        </w:rPr>
        <w:t>记录。</w:t>
      </w:r>
      <w:r>
        <w:rPr>
          <w:rFonts w:hint="eastAsia" w:ascii="仿宋_GB2312" w:hAnsi="仿宋_GB2312" w:cs="仿宋_GB2312"/>
          <w:color w:val="auto"/>
          <w:sz w:val="28"/>
          <w:szCs w:val="28"/>
          <w:lang w:val="zh-CN"/>
        </w:rPr>
        <w:t>结合行业精英进校园等特色活动，积极利用校内外资源，组织通识课程大讲堂等活动。</w:t>
      </w:r>
      <w:r>
        <w:rPr>
          <w:rFonts w:hint="eastAsia" w:ascii="仿宋_GB2312" w:hAnsi="仿宋_GB2312" w:cs="仿宋_GB2312"/>
          <w:color w:val="auto"/>
          <w:kern w:val="0"/>
          <w:sz w:val="28"/>
          <w:szCs w:val="28"/>
        </w:rPr>
        <w:t>在每学期选课前，组织开展特色通识选修课程宣传、推介活动，加强学生对课程的了解，提高学生选课积极性。</w:t>
      </w:r>
    </w:p>
    <w:p w14:paraId="76E21D73">
      <w:pPr>
        <w:numPr>
          <w:ilvl w:val="0"/>
          <w:numId w:val="1"/>
        </w:numPr>
        <w:adjustRightInd w:val="0"/>
        <w:snapToGrid w:val="0"/>
        <w:spacing w:line="520" w:lineRule="exact"/>
        <w:ind w:firstLine="562" w:firstLineChars="200"/>
        <w:rPr>
          <w:rFonts w:ascii="黑体" w:hAnsi="黑体" w:eastAsia="黑体" w:cs="黑体"/>
          <w:b/>
          <w:bCs/>
          <w:color w:val="auto"/>
          <w:kern w:val="0"/>
          <w:sz w:val="28"/>
          <w:szCs w:val="28"/>
        </w:rPr>
      </w:pPr>
      <w:r>
        <w:rPr>
          <w:rFonts w:hint="eastAsia" w:ascii="黑体" w:hAnsi="黑体" w:eastAsia="黑体" w:cs="黑体"/>
          <w:b/>
          <w:bCs/>
          <w:color w:val="auto"/>
          <w:kern w:val="0"/>
          <w:sz w:val="28"/>
          <w:szCs w:val="28"/>
        </w:rPr>
        <w:t>经费管理</w:t>
      </w:r>
    </w:p>
    <w:p w14:paraId="627DA989">
      <w:pPr>
        <w:autoSpaceDE w:val="0"/>
        <w:autoSpaceDN w:val="0"/>
        <w:adjustRightInd w:val="0"/>
        <w:spacing w:line="520" w:lineRule="exact"/>
        <w:ind w:firstLine="560" w:firstLineChars="200"/>
        <w:rPr>
          <w:rFonts w:ascii="仿宋_GB2312" w:hAnsi="仿宋_GB2312" w:cs="仿宋_GB2312"/>
          <w:color w:val="auto"/>
          <w:sz w:val="28"/>
          <w:szCs w:val="28"/>
          <w:lang w:val="zh-CN"/>
        </w:rPr>
      </w:pPr>
      <w:r>
        <w:rPr>
          <w:rFonts w:hint="eastAsia" w:ascii="仿宋_GB2312" w:hAnsi="仿宋_GB2312" w:cs="仿宋_GB2312"/>
          <w:color w:val="auto"/>
          <w:sz w:val="28"/>
          <w:szCs w:val="28"/>
          <w:lang w:val="zh-CN"/>
        </w:rPr>
        <w:t>学校</w:t>
      </w:r>
      <w:r>
        <w:rPr>
          <w:rFonts w:hint="eastAsia" w:ascii="仿宋_GB2312" w:hAnsi="仿宋_GB2312" w:cs="仿宋_GB2312"/>
          <w:color w:val="auto"/>
          <w:sz w:val="28"/>
          <w:szCs w:val="28"/>
        </w:rPr>
        <w:t>负责划拨</w:t>
      </w:r>
      <w:r>
        <w:rPr>
          <w:rFonts w:hint="eastAsia" w:ascii="仿宋_GB2312" w:hAnsi="仿宋_GB2312" w:cs="仿宋_GB2312"/>
          <w:color w:val="auto"/>
          <w:kern w:val="0"/>
          <w:sz w:val="28"/>
          <w:szCs w:val="28"/>
        </w:rPr>
        <w:t>通识教育中心</w:t>
      </w:r>
      <w:r>
        <w:rPr>
          <w:rFonts w:hint="eastAsia" w:ascii="仿宋_GB2312" w:hAnsi="仿宋_GB2312" w:cs="仿宋_GB2312"/>
          <w:color w:val="auto"/>
          <w:sz w:val="28"/>
          <w:szCs w:val="28"/>
          <w:lang w:val="zh-CN"/>
        </w:rPr>
        <w:t>建设和运行经费；教务处根据相关</w:t>
      </w:r>
      <w:r>
        <w:rPr>
          <w:rFonts w:hint="eastAsia" w:ascii="仿宋_GB2312" w:hAnsi="仿宋_GB2312" w:cs="仿宋_GB2312"/>
          <w:color w:val="auto"/>
          <w:sz w:val="28"/>
          <w:szCs w:val="28"/>
          <w:lang w:val="en-US" w:eastAsia="zh-CN"/>
        </w:rPr>
        <w:t>经费</w:t>
      </w:r>
      <w:r>
        <w:rPr>
          <w:rFonts w:hint="eastAsia" w:ascii="仿宋_GB2312" w:hAnsi="仿宋_GB2312" w:cs="仿宋_GB2312"/>
          <w:color w:val="auto"/>
          <w:sz w:val="28"/>
          <w:szCs w:val="28"/>
          <w:lang w:val="zh-CN"/>
        </w:rPr>
        <w:t>预算情况，</w:t>
      </w:r>
      <w:r>
        <w:rPr>
          <w:rFonts w:hint="eastAsia" w:ascii="仿宋_GB2312" w:hAnsi="仿宋_GB2312" w:cs="仿宋_GB2312"/>
          <w:color w:val="auto"/>
          <w:sz w:val="28"/>
          <w:szCs w:val="28"/>
          <w:lang w:val="en-US" w:eastAsia="zh-CN"/>
        </w:rPr>
        <w:t>对</w:t>
      </w:r>
      <w:r>
        <w:rPr>
          <w:rFonts w:hint="eastAsia" w:ascii="仿宋_GB2312" w:hAnsi="仿宋_GB2312" w:cs="仿宋_GB2312"/>
          <w:color w:val="auto"/>
          <w:kern w:val="0"/>
          <w:sz w:val="28"/>
          <w:szCs w:val="28"/>
        </w:rPr>
        <w:t>中心</w:t>
      </w:r>
      <w:r>
        <w:rPr>
          <w:rFonts w:hint="eastAsia" w:ascii="仿宋_GB2312" w:hAnsi="仿宋_GB2312" w:cs="仿宋_GB2312"/>
          <w:color w:val="auto"/>
          <w:sz w:val="28"/>
          <w:szCs w:val="28"/>
          <w:lang w:val="zh-CN"/>
        </w:rPr>
        <w:t>建设和运行经费进行调整。鼓励</w:t>
      </w:r>
      <w:r>
        <w:rPr>
          <w:rFonts w:hint="eastAsia" w:ascii="仿宋_GB2312" w:hAnsi="仿宋_GB2312" w:cs="仿宋_GB2312"/>
          <w:color w:val="auto"/>
          <w:sz w:val="28"/>
          <w:szCs w:val="28"/>
        </w:rPr>
        <w:t>委托管理</w:t>
      </w:r>
      <w:r>
        <w:rPr>
          <w:rFonts w:hint="eastAsia" w:ascii="仿宋_GB2312" w:hAnsi="仿宋_GB2312" w:cs="仿宋_GB2312"/>
          <w:color w:val="auto"/>
          <w:sz w:val="28"/>
          <w:szCs w:val="28"/>
          <w:lang w:val="zh-CN"/>
        </w:rPr>
        <w:t>学院在学校投入经费的基础上予以配套支持。</w:t>
      </w:r>
      <w:r>
        <w:rPr>
          <w:rFonts w:hint="eastAsia" w:ascii="仿宋_GB2312" w:hAnsi="仿宋_GB2312" w:cs="仿宋_GB2312"/>
          <w:color w:val="auto"/>
          <w:sz w:val="28"/>
          <w:szCs w:val="28"/>
        </w:rPr>
        <w:t>其中，</w:t>
      </w:r>
      <w:r>
        <w:rPr>
          <w:rFonts w:hint="eastAsia" w:ascii="仿宋_GB2312" w:hAnsi="仿宋_GB2312" w:cs="仿宋_GB2312"/>
          <w:color w:val="auto"/>
          <w:sz w:val="28"/>
          <w:szCs w:val="28"/>
          <w:highlight w:val="none"/>
          <w:shd w:val="clear"/>
        </w:rPr>
        <w:t>可用于项目评审、组织通识课程大讲堂等活动的校外专家酬金</w:t>
      </w:r>
      <w:r>
        <w:rPr>
          <w:rFonts w:hint="eastAsia" w:ascii="仿宋_GB2312" w:hAnsi="仿宋_GB2312" w:cs="仿宋_GB2312"/>
          <w:color w:val="auto"/>
          <w:sz w:val="28"/>
          <w:szCs w:val="28"/>
          <w:highlight w:val="none"/>
          <w:shd w:val="clear"/>
          <w:lang w:val="zh-CN"/>
        </w:rPr>
        <w:t>不超过项目经费的50%。</w:t>
      </w:r>
      <w:r>
        <w:rPr>
          <w:rFonts w:hint="eastAsia" w:ascii="仿宋_GB2312" w:hAnsi="仿宋_GB2312" w:cs="仿宋_GB2312"/>
          <w:color w:val="auto"/>
          <w:sz w:val="28"/>
          <w:szCs w:val="28"/>
        </w:rPr>
        <w:t>委托管理</w:t>
      </w:r>
      <w:r>
        <w:rPr>
          <w:rFonts w:hint="eastAsia" w:ascii="仿宋_GB2312" w:hAnsi="仿宋_GB2312" w:cs="仿宋_GB2312"/>
          <w:color w:val="auto"/>
          <w:sz w:val="28"/>
          <w:szCs w:val="28"/>
          <w:lang w:val="zh-CN"/>
        </w:rPr>
        <w:t>学院</w:t>
      </w:r>
      <w:r>
        <w:rPr>
          <w:rFonts w:hint="eastAsia" w:ascii="仿宋_GB2312" w:hAnsi="仿宋_GB2312" w:cs="仿宋_GB2312"/>
          <w:color w:val="auto"/>
          <w:sz w:val="28"/>
          <w:szCs w:val="28"/>
        </w:rPr>
        <w:t>应加强对</w:t>
      </w:r>
      <w:r>
        <w:rPr>
          <w:rFonts w:hint="eastAsia" w:ascii="仿宋_GB2312" w:hAnsi="仿宋_GB2312" w:cs="仿宋_GB2312"/>
          <w:color w:val="auto"/>
          <w:kern w:val="0"/>
          <w:sz w:val="28"/>
          <w:szCs w:val="28"/>
        </w:rPr>
        <w:t>通识教育中心</w:t>
      </w:r>
      <w:r>
        <w:rPr>
          <w:rFonts w:hint="eastAsia" w:ascii="仿宋_GB2312" w:hAnsi="仿宋_GB2312" w:cs="仿宋_GB2312"/>
          <w:color w:val="auto"/>
          <w:sz w:val="28"/>
          <w:szCs w:val="28"/>
          <w:lang w:val="zh-CN"/>
        </w:rPr>
        <w:t>经费</w:t>
      </w:r>
      <w:r>
        <w:rPr>
          <w:rFonts w:hint="eastAsia" w:ascii="仿宋_GB2312" w:hAnsi="仿宋_GB2312" w:cs="仿宋_GB2312"/>
          <w:color w:val="auto"/>
          <w:sz w:val="28"/>
          <w:szCs w:val="28"/>
        </w:rPr>
        <w:t>使用情况的监管</w:t>
      </w:r>
      <w:r>
        <w:rPr>
          <w:rFonts w:hint="eastAsia" w:ascii="仿宋_GB2312" w:hAnsi="仿宋_GB2312" w:cs="仿宋_GB2312"/>
          <w:color w:val="auto"/>
          <w:sz w:val="28"/>
          <w:szCs w:val="28"/>
          <w:lang w:val="zh-CN"/>
        </w:rPr>
        <w:t>，促进经费有效使用。</w:t>
      </w:r>
    </w:p>
    <w:p w14:paraId="4361B7DF">
      <w:pPr>
        <w:adjustRightInd w:val="0"/>
        <w:snapToGrid w:val="0"/>
        <w:spacing w:line="520" w:lineRule="exact"/>
        <w:ind w:firstLine="560" w:firstLineChars="200"/>
        <w:rPr>
          <w:rFonts w:ascii="仿宋_GB2312" w:hAnsi="仿宋_GB2312" w:cs="仿宋_GB2312"/>
          <w:kern w:val="0"/>
          <w:sz w:val="28"/>
          <w:szCs w:val="28"/>
          <w:lang w:val="zh-CN"/>
        </w:rPr>
      </w:pPr>
      <w:r>
        <w:rPr>
          <w:rFonts w:hint="eastAsia" w:ascii="仿宋_GB2312" w:hAnsi="仿宋_GB2312" w:cs="仿宋_GB2312"/>
          <w:kern w:val="0"/>
          <w:sz w:val="28"/>
          <w:szCs w:val="28"/>
        </w:rPr>
        <w:t>学校立项建设的</w:t>
      </w:r>
      <w:r>
        <w:rPr>
          <w:rFonts w:hint="eastAsia" w:ascii="仿宋_GB2312" w:hAnsi="仿宋_GB2312" w:cs="仿宋_GB2312"/>
          <w:kern w:val="0"/>
          <w:sz w:val="28"/>
          <w:szCs w:val="28"/>
          <w:lang w:val="zh-CN"/>
        </w:rPr>
        <w:t>通识教育品牌课程，</w:t>
      </w:r>
      <w:r>
        <w:rPr>
          <w:rFonts w:hint="eastAsia" w:ascii="仿宋_GB2312" w:hAnsi="仿宋_GB2312" w:cs="仿宋_GB2312"/>
          <w:kern w:val="0"/>
          <w:sz w:val="28"/>
          <w:szCs w:val="28"/>
        </w:rPr>
        <w:t>由学校划拨</w:t>
      </w:r>
      <w:r>
        <w:rPr>
          <w:rFonts w:hint="eastAsia" w:ascii="仿宋_GB2312" w:hAnsi="仿宋_GB2312" w:cs="仿宋_GB2312"/>
          <w:kern w:val="0"/>
          <w:sz w:val="28"/>
          <w:szCs w:val="28"/>
          <w:lang w:val="zh-CN"/>
        </w:rPr>
        <w:t>建设经费。</w:t>
      </w:r>
    </w:p>
    <w:p w14:paraId="022C4C2E">
      <w:pPr>
        <w:numPr>
          <w:ilvl w:val="0"/>
          <w:numId w:val="1"/>
        </w:numPr>
        <w:adjustRightInd w:val="0"/>
        <w:snapToGrid w:val="0"/>
        <w:spacing w:line="520" w:lineRule="exact"/>
        <w:ind w:firstLine="562" w:firstLineChars="200"/>
        <w:rPr>
          <w:rFonts w:ascii="黑体" w:hAnsi="黑体" w:eastAsia="黑体" w:cs="黑体"/>
          <w:b/>
          <w:bCs/>
          <w:color w:val="040404"/>
          <w:kern w:val="0"/>
          <w:sz w:val="28"/>
          <w:szCs w:val="28"/>
        </w:rPr>
      </w:pPr>
      <w:r>
        <w:rPr>
          <w:rFonts w:hint="eastAsia" w:ascii="黑体" w:hAnsi="黑体" w:eastAsia="黑体" w:cs="黑体"/>
          <w:b/>
          <w:bCs/>
          <w:color w:val="040404"/>
          <w:kern w:val="0"/>
          <w:sz w:val="28"/>
          <w:szCs w:val="28"/>
        </w:rPr>
        <w:t>考核机制</w:t>
      </w:r>
    </w:p>
    <w:p w14:paraId="4A60DD49">
      <w:pPr>
        <w:autoSpaceDE w:val="0"/>
        <w:autoSpaceDN w:val="0"/>
        <w:adjustRightInd w:val="0"/>
        <w:spacing w:line="520" w:lineRule="exact"/>
        <w:ind w:firstLine="560" w:firstLineChars="200"/>
        <w:rPr>
          <w:rFonts w:ascii="仿宋_GB2312" w:hAnsi="仿宋_GB2312" w:cs="仿宋_GB2312"/>
          <w:sz w:val="28"/>
          <w:szCs w:val="28"/>
          <w:lang w:val="zh-CN"/>
        </w:rPr>
      </w:pPr>
      <w:r>
        <w:rPr>
          <w:rFonts w:hint="eastAsia" w:ascii="仿宋_GB2312" w:hAnsi="仿宋_GB2312" w:cs="仿宋_GB2312"/>
          <w:sz w:val="28"/>
          <w:szCs w:val="28"/>
          <w:lang w:val="zh-CN"/>
        </w:rPr>
        <w:t>中心作为基层教学组织纳入委托管理学院教学管理范畴，可参加学校优秀基层教学组织评选。</w:t>
      </w:r>
      <w:r>
        <w:rPr>
          <w:rFonts w:hint="eastAsia" w:ascii="仿宋_GB2312" w:hAnsi="仿宋_GB2312" w:cs="仿宋_GB2312"/>
          <w:sz w:val="28"/>
          <w:szCs w:val="28"/>
        </w:rPr>
        <w:t>委托管理学院可</w:t>
      </w:r>
      <w:r>
        <w:rPr>
          <w:rFonts w:hint="eastAsia" w:ascii="仿宋_GB2312" w:hAnsi="仿宋_GB2312" w:cs="仿宋_GB2312"/>
          <w:sz w:val="28"/>
          <w:szCs w:val="28"/>
          <w:lang w:val="zh-CN"/>
        </w:rPr>
        <w:t>结合学校岗位聘任政策，</w:t>
      </w:r>
      <w:r>
        <w:rPr>
          <w:rFonts w:hint="eastAsia" w:ascii="仿宋_GB2312" w:hAnsi="仿宋_GB2312" w:cs="仿宋_GB2312"/>
          <w:sz w:val="28"/>
          <w:szCs w:val="28"/>
        </w:rPr>
        <w:t>在</w:t>
      </w:r>
      <w:r>
        <w:rPr>
          <w:rFonts w:hint="eastAsia" w:ascii="仿宋_GB2312" w:hAnsi="仿宋_GB2312" w:cs="仿宋_GB2312"/>
          <w:kern w:val="0"/>
          <w:sz w:val="28"/>
          <w:szCs w:val="28"/>
        </w:rPr>
        <w:t>通识教育中心</w:t>
      </w:r>
      <w:r>
        <w:rPr>
          <w:rFonts w:hint="eastAsia" w:ascii="仿宋_GB2312" w:hAnsi="仿宋_GB2312" w:cs="仿宋_GB2312"/>
          <w:sz w:val="28"/>
          <w:szCs w:val="28"/>
          <w:lang w:val="zh-CN"/>
        </w:rPr>
        <w:t>设置专职或兼职岗位，并将岗位履职情况纳入</w:t>
      </w:r>
      <w:r>
        <w:rPr>
          <w:rFonts w:hint="eastAsia" w:ascii="仿宋_GB2312" w:hAnsi="仿宋_GB2312" w:cs="仿宋_GB2312"/>
          <w:sz w:val="28"/>
          <w:szCs w:val="28"/>
        </w:rPr>
        <w:t>学院</w:t>
      </w:r>
      <w:r>
        <w:rPr>
          <w:rFonts w:hint="eastAsia" w:ascii="仿宋_GB2312" w:hAnsi="仿宋_GB2312" w:cs="仿宋_GB2312"/>
          <w:sz w:val="28"/>
          <w:szCs w:val="28"/>
          <w:lang w:val="zh-CN"/>
        </w:rPr>
        <w:t xml:space="preserve">绩效评价体系。 </w:t>
      </w:r>
    </w:p>
    <w:p w14:paraId="3B1BBC02">
      <w:pPr>
        <w:adjustRightInd w:val="0"/>
        <w:snapToGrid w:val="0"/>
        <w:spacing w:line="520" w:lineRule="exact"/>
        <w:ind w:firstLine="560" w:firstLineChars="200"/>
        <w:rPr>
          <w:rFonts w:hint="eastAsia" w:ascii="仿宋_GB2312" w:hAnsi="仿宋_GB2312" w:cs="仿宋_GB2312"/>
          <w:sz w:val="28"/>
          <w:szCs w:val="28"/>
          <w:lang w:val="zh-CN"/>
        </w:rPr>
      </w:pPr>
      <w:r>
        <w:rPr>
          <w:rFonts w:hint="eastAsia" w:ascii="仿宋_GB2312" w:hAnsi="仿宋_GB2312" w:cs="仿宋_GB2312"/>
          <w:sz w:val="28"/>
          <w:szCs w:val="28"/>
          <w:lang w:val="zh-CN"/>
        </w:rPr>
        <w:t>学校每学期在“优课优酬”奖评选中单列通识选修课程奖励指标，由各个通识教育中心组织推荐。</w:t>
      </w:r>
    </w:p>
    <w:p w14:paraId="31999823">
      <w:pPr>
        <w:adjustRightInd w:val="0"/>
        <w:snapToGrid w:val="0"/>
        <w:spacing w:line="520" w:lineRule="exact"/>
        <w:ind w:firstLine="560" w:firstLineChars="200"/>
        <w:rPr>
          <w:rFonts w:hint="eastAsia" w:ascii="仿宋_GB2312" w:hAnsi="仿宋_GB2312" w:cs="仿宋_GB2312"/>
          <w:color w:val="auto"/>
          <w:sz w:val="28"/>
          <w:szCs w:val="28"/>
          <w:lang w:val="zh-CN"/>
        </w:rPr>
      </w:pPr>
      <w:r>
        <w:rPr>
          <w:rFonts w:hint="eastAsia" w:ascii="仿宋_GB2312" w:hAnsi="仿宋_GB2312" w:cs="仿宋_GB2312"/>
          <w:sz w:val="28"/>
          <w:szCs w:val="28"/>
        </w:rPr>
        <w:t>学校</w:t>
      </w:r>
      <w:r>
        <w:rPr>
          <w:rFonts w:hint="eastAsia" w:ascii="仿宋_GB2312" w:hAnsi="仿宋_GB2312" w:cs="仿宋_GB2312"/>
          <w:sz w:val="28"/>
          <w:szCs w:val="28"/>
          <w:lang w:val="zh-CN"/>
        </w:rPr>
        <w:t>每年对</w:t>
      </w:r>
      <w:bookmarkStart w:id="1" w:name="OLE_LINK3"/>
      <w:r>
        <w:rPr>
          <w:rFonts w:hint="eastAsia" w:ascii="仿宋_GB2312" w:hAnsi="仿宋_GB2312" w:cs="仿宋_GB2312"/>
          <w:kern w:val="0"/>
          <w:sz w:val="28"/>
          <w:szCs w:val="28"/>
        </w:rPr>
        <w:t>通识教育中</w:t>
      </w:r>
      <w:r>
        <w:rPr>
          <w:rFonts w:hint="eastAsia" w:ascii="仿宋_GB2312" w:hAnsi="仿宋_GB2312" w:cs="仿宋_GB2312"/>
          <w:color w:val="auto"/>
          <w:kern w:val="0"/>
          <w:sz w:val="28"/>
          <w:szCs w:val="28"/>
        </w:rPr>
        <w:t>心</w:t>
      </w:r>
      <w:bookmarkEnd w:id="1"/>
      <w:r>
        <w:rPr>
          <w:rFonts w:hint="eastAsia" w:ascii="仿宋_GB2312" w:hAnsi="仿宋_GB2312" w:cs="仿宋_GB2312"/>
          <w:color w:val="auto"/>
          <w:kern w:val="0"/>
          <w:sz w:val="28"/>
          <w:szCs w:val="28"/>
        </w:rPr>
        <w:t>工作</w:t>
      </w:r>
      <w:r>
        <w:rPr>
          <w:rFonts w:hint="eastAsia" w:ascii="仿宋_GB2312" w:hAnsi="仿宋_GB2312" w:cs="仿宋_GB2312"/>
          <w:color w:val="auto"/>
          <w:sz w:val="28"/>
          <w:szCs w:val="28"/>
          <w:lang w:val="zh-CN"/>
        </w:rPr>
        <w:t>进行考核。</w:t>
      </w:r>
      <w:r>
        <w:rPr>
          <w:rFonts w:hint="eastAsia" w:ascii="仿宋_GB2312" w:hAnsi="仿宋_GB2312" w:cs="仿宋_GB2312"/>
          <w:color w:val="auto"/>
          <w:sz w:val="28"/>
          <w:szCs w:val="28"/>
          <w:highlight w:val="none"/>
        </w:rPr>
        <w:t>考核</w:t>
      </w:r>
      <w:r>
        <w:rPr>
          <w:rFonts w:hint="eastAsia" w:ascii="仿宋_GB2312" w:hAnsi="仿宋_GB2312" w:cs="仿宋_GB2312"/>
          <w:color w:val="auto"/>
          <w:sz w:val="28"/>
          <w:szCs w:val="28"/>
          <w:highlight w:val="none"/>
          <w:lang w:val="en-US" w:eastAsia="zh-CN"/>
        </w:rPr>
        <w:t>遵循</w:t>
      </w:r>
      <w:r>
        <w:rPr>
          <w:rFonts w:hint="eastAsia" w:ascii="仿宋_GB2312" w:hAnsi="仿宋_GB2312" w:cs="仿宋_GB2312"/>
          <w:color w:val="auto"/>
          <w:sz w:val="28"/>
          <w:szCs w:val="28"/>
          <w:highlight w:val="none"/>
          <w:lang w:val="zh-CN"/>
        </w:rPr>
        <w:t>有利于学生培养和教学质量提高的原则、定量和定性考核相结合的原则；</w:t>
      </w:r>
      <w:r>
        <w:rPr>
          <w:rFonts w:hint="eastAsia" w:ascii="仿宋_GB2312" w:hAnsi="仿宋_GB2312" w:cs="仿宋_GB2312"/>
          <w:color w:val="auto"/>
          <w:sz w:val="28"/>
          <w:szCs w:val="28"/>
          <w:highlight w:val="none"/>
          <w:lang w:val="en-US" w:eastAsia="zh-CN"/>
        </w:rPr>
        <w:t>考核</w:t>
      </w:r>
      <w:r>
        <w:rPr>
          <w:rFonts w:hint="eastAsia" w:ascii="仿宋_GB2312" w:hAnsi="仿宋_GB2312" w:cs="仿宋_GB2312"/>
          <w:color w:val="auto"/>
          <w:sz w:val="28"/>
          <w:szCs w:val="28"/>
          <w:lang w:val="zh-CN"/>
        </w:rPr>
        <w:t>实行等级考核制，考核结果分为优秀、合格、不合格三个等级。</w:t>
      </w:r>
    </w:p>
    <w:p w14:paraId="6122B81F">
      <w:pPr>
        <w:adjustRightInd w:val="0"/>
        <w:snapToGrid w:val="0"/>
        <w:spacing w:line="520" w:lineRule="exact"/>
        <w:ind w:firstLine="560" w:firstLineChars="200"/>
        <w:rPr>
          <w:rFonts w:hint="eastAsia" w:ascii="仿宋_GB2312" w:hAnsi="仿宋_GB2312" w:cs="仿宋_GB2312"/>
          <w:color w:val="auto"/>
          <w:sz w:val="28"/>
          <w:szCs w:val="28"/>
          <w:lang w:val="zh-CN"/>
        </w:rPr>
      </w:pPr>
    </w:p>
    <w:p w14:paraId="22879126">
      <w:pPr>
        <w:adjustRightInd w:val="0"/>
        <w:snapToGrid w:val="0"/>
        <w:spacing w:line="520" w:lineRule="exact"/>
        <w:rPr>
          <w:rFonts w:hint="default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cs="仿宋_GB2312"/>
          <w:color w:val="auto"/>
          <w:sz w:val="28"/>
          <w:szCs w:val="28"/>
          <w:lang w:val="en-US" w:eastAsia="zh-CN"/>
        </w:rPr>
        <w:t>附件：</w:t>
      </w:r>
      <w:bookmarkStart w:id="2" w:name="OLE_LINK4"/>
      <w:r>
        <w:rPr>
          <w:rFonts w:hint="eastAsia" w:ascii="仿宋_GB2312" w:hAnsi="仿宋_GB2312" w:cs="仿宋_GB2312"/>
          <w:color w:val="auto"/>
          <w:kern w:val="0"/>
          <w:sz w:val="28"/>
          <w:szCs w:val="28"/>
        </w:rPr>
        <w:t>通识教育中心</w:t>
      </w:r>
      <w:r>
        <w:rPr>
          <w:rFonts w:hint="eastAsia" w:ascii="仿宋_GB2312" w:hAnsi="仿宋_GB2312" w:cs="仿宋_GB2312"/>
          <w:color w:val="auto"/>
          <w:kern w:val="0"/>
          <w:sz w:val="28"/>
          <w:szCs w:val="28"/>
          <w:lang w:val="en-US" w:eastAsia="zh-CN"/>
        </w:rPr>
        <w:t>年度考核指标</w:t>
      </w:r>
      <w:bookmarkEnd w:id="2"/>
    </w:p>
    <w:p w14:paraId="79EE99B5">
      <w:pPr>
        <w:adjustRightInd w:val="0"/>
        <w:snapToGrid w:val="0"/>
        <w:spacing w:line="520" w:lineRule="exact"/>
        <w:ind w:firstLine="560" w:firstLineChars="200"/>
        <w:rPr>
          <w:rFonts w:hint="eastAsia" w:ascii="仿宋_GB2312" w:hAnsi="仿宋_GB2312" w:cs="仿宋_GB2312"/>
          <w:color w:val="auto"/>
          <w:sz w:val="28"/>
          <w:szCs w:val="28"/>
          <w:lang w:val="zh-CN"/>
        </w:rPr>
      </w:pPr>
    </w:p>
    <w:p w14:paraId="0088D087">
      <w:pPr>
        <w:adjustRightInd w:val="0"/>
        <w:snapToGrid w:val="0"/>
        <w:spacing w:line="520" w:lineRule="exact"/>
        <w:ind w:firstLine="560" w:firstLineChars="200"/>
        <w:rPr>
          <w:rFonts w:hint="eastAsia" w:ascii="仿宋_GB2312" w:hAnsi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cs="仿宋_GB2312"/>
          <w:color w:val="auto"/>
          <w:sz w:val="28"/>
          <w:szCs w:val="28"/>
          <w:lang w:val="en-US" w:eastAsia="zh-CN"/>
        </w:rPr>
        <w:t xml:space="preserve">                                      教务处</w:t>
      </w:r>
    </w:p>
    <w:p w14:paraId="193D10B0">
      <w:pPr>
        <w:adjustRightInd w:val="0"/>
        <w:snapToGrid w:val="0"/>
        <w:spacing w:line="520" w:lineRule="exact"/>
        <w:ind w:firstLine="560" w:firstLineChars="200"/>
        <w:rPr>
          <w:rFonts w:hint="default" w:ascii="仿宋_GB2312" w:hAnsi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cs="仿宋_GB2312"/>
          <w:color w:val="auto"/>
          <w:sz w:val="28"/>
          <w:szCs w:val="28"/>
          <w:lang w:val="en-US" w:eastAsia="zh-CN"/>
        </w:rPr>
        <w:t xml:space="preserve">                                  2025年4月14日</w:t>
      </w:r>
    </w:p>
    <w:p w14:paraId="338DCB2E">
      <w:pPr>
        <w:adjustRightInd w:val="0"/>
        <w:snapToGrid w:val="0"/>
        <w:spacing w:line="520" w:lineRule="exact"/>
        <w:ind w:firstLine="560" w:firstLineChars="200"/>
        <w:rPr>
          <w:rFonts w:hint="eastAsia" w:ascii="仿宋_GB2312" w:hAnsi="仿宋_GB2312" w:cs="仿宋_GB2312"/>
          <w:color w:val="FF0000"/>
          <w:sz w:val="28"/>
          <w:szCs w:val="28"/>
          <w:lang w:val="zh-CN"/>
        </w:rPr>
      </w:pPr>
    </w:p>
    <w:p w14:paraId="00568951">
      <w:pPr>
        <w:kinsoku w:val="0"/>
        <w:adjustRightInd w:val="0"/>
        <w:snapToGrid w:val="0"/>
        <w:spacing w:line="520" w:lineRule="exact"/>
        <w:ind w:firstLine="643" w:firstLineChars="200"/>
        <w:jc w:val="left"/>
        <w:rPr>
          <w:rFonts w:hint="eastAsia" w:ascii="宋体" w:hAnsi="宋体" w:eastAsia="宋体" w:cs="宋体"/>
          <w:b/>
          <w:bCs/>
          <w:color w:val="FF0000"/>
          <w:kern w:val="0"/>
          <w:sz w:val="32"/>
          <w:szCs w:val="32"/>
          <w:lang w:val="en-US" w:eastAsia="zh-CN"/>
        </w:rPr>
      </w:pPr>
    </w:p>
    <w:p w14:paraId="58991C42">
      <w:pPr>
        <w:kinsoku w:val="0"/>
        <w:adjustRightInd w:val="0"/>
        <w:snapToGrid w:val="0"/>
        <w:spacing w:line="520" w:lineRule="exact"/>
        <w:ind w:firstLine="643" w:firstLineChars="200"/>
        <w:jc w:val="left"/>
        <w:rPr>
          <w:rFonts w:hint="eastAsia" w:ascii="宋体" w:hAnsi="宋体" w:eastAsia="宋体" w:cs="宋体"/>
          <w:b/>
          <w:bCs/>
          <w:color w:val="FF0000"/>
          <w:kern w:val="0"/>
          <w:sz w:val="32"/>
          <w:szCs w:val="32"/>
          <w:lang w:val="en-US" w:eastAsia="zh-CN"/>
        </w:rPr>
      </w:pPr>
    </w:p>
    <w:p w14:paraId="505CDD0D">
      <w:pPr>
        <w:kinsoku w:val="0"/>
        <w:adjustRightInd w:val="0"/>
        <w:snapToGrid w:val="0"/>
        <w:spacing w:line="520" w:lineRule="exact"/>
        <w:ind w:firstLine="643" w:firstLineChars="200"/>
        <w:jc w:val="left"/>
        <w:rPr>
          <w:rFonts w:hint="eastAsia" w:ascii="宋体" w:hAnsi="宋体" w:eastAsia="宋体" w:cs="宋体"/>
          <w:b/>
          <w:bCs/>
          <w:color w:val="FF0000"/>
          <w:kern w:val="0"/>
          <w:sz w:val="32"/>
          <w:szCs w:val="32"/>
          <w:lang w:val="en-US" w:eastAsia="zh-CN"/>
        </w:rPr>
      </w:pPr>
    </w:p>
    <w:p w14:paraId="1FA50073">
      <w:pPr>
        <w:kinsoku w:val="0"/>
        <w:adjustRightInd w:val="0"/>
        <w:snapToGrid w:val="0"/>
        <w:spacing w:line="520" w:lineRule="exact"/>
        <w:ind w:firstLine="643" w:firstLineChars="200"/>
        <w:jc w:val="left"/>
        <w:rPr>
          <w:rFonts w:hint="eastAsia" w:ascii="宋体" w:hAnsi="宋体" w:eastAsia="宋体" w:cs="宋体"/>
          <w:b/>
          <w:bCs/>
          <w:color w:val="FF0000"/>
          <w:kern w:val="0"/>
          <w:sz w:val="32"/>
          <w:szCs w:val="32"/>
          <w:lang w:val="en-US" w:eastAsia="zh-CN"/>
        </w:rPr>
      </w:pPr>
    </w:p>
    <w:p w14:paraId="26CB7015">
      <w:pPr>
        <w:kinsoku w:val="0"/>
        <w:adjustRightInd w:val="0"/>
        <w:snapToGrid w:val="0"/>
        <w:spacing w:line="520" w:lineRule="exact"/>
        <w:ind w:firstLine="643" w:firstLineChars="200"/>
        <w:jc w:val="left"/>
        <w:rPr>
          <w:rFonts w:hint="eastAsia" w:ascii="宋体" w:hAnsi="宋体" w:eastAsia="宋体" w:cs="宋体"/>
          <w:b/>
          <w:bCs/>
          <w:color w:val="FF0000"/>
          <w:kern w:val="0"/>
          <w:sz w:val="32"/>
          <w:szCs w:val="32"/>
          <w:lang w:val="en-US" w:eastAsia="zh-CN"/>
        </w:rPr>
      </w:pPr>
    </w:p>
    <w:p w14:paraId="5FA43C3E">
      <w:pPr>
        <w:kinsoku w:val="0"/>
        <w:adjustRightInd w:val="0"/>
        <w:snapToGrid w:val="0"/>
        <w:spacing w:line="520" w:lineRule="exact"/>
        <w:ind w:firstLine="643" w:firstLineChars="200"/>
        <w:jc w:val="left"/>
        <w:rPr>
          <w:rFonts w:hint="eastAsia" w:ascii="宋体" w:hAnsi="宋体" w:eastAsia="宋体" w:cs="宋体"/>
          <w:b/>
          <w:bCs/>
          <w:color w:val="FF0000"/>
          <w:kern w:val="0"/>
          <w:sz w:val="32"/>
          <w:szCs w:val="32"/>
          <w:lang w:val="en-US" w:eastAsia="zh-CN"/>
        </w:rPr>
      </w:pPr>
    </w:p>
    <w:p w14:paraId="2A374B21">
      <w:pPr>
        <w:kinsoku w:val="0"/>
        <w:adjustRightInd w:val="0"/>
        <w:snapToGrid w:val="0"/>
        <w:spacing w:line="520" w:lineRule="exact"/>
        <w:ind w:firstLine="643" w:firstLineChars="200"/>
        <w:jc w:val="left"/>
        <w:rPr>
          <w:rFonts w:hint="eastAsia" w:ascii="宋体" w:hAnsi="宋体" w:eastAsia="宋体" w:cs="宋体"/>
          <w:b/>
          <w:bCs/>
          <w:color w:val="FF0000"/>
          <w:kern w:val="0"/>
          <w:sz w:val="32"/>
          <w:szCs w:val="32"/>
          <w:lang w:val="en-US" w:eastAsia="zh-CN"/>
        </w:rPr>
      </w:pPr>
    </w:p>
    <w:p w14:paraId="3011829E">
      <w:pPr>
        <w:kinsoku w:val="0"/>
        <w:adjustRightInd w:val="0"/>
        <w:snapToGrid w:val="0"/>
        <w:spacing w:line="520" w:lineRule="exact"/>
        <w:ind w:firstLine="643" w:firstLineChars="200"/>
        <w:jc w:val="left"/>
        <w:rPr>
          <w:rFonts w:hint="eastAsia" w:ascii="宋体" w:hAnsi="宋体" w:eastAsia="宋体" w:cs="宋体"/>
          <w:b/>
          <w:bCs/>
          <w:color w:val="FF0000"/>
          <w:kern w:val="0"/>
          <w:sz w:val="32"/>
          <w:szCs w:val="32"/>
          <w:lang w:val="en-US" w:eastAsia="zh-CN"/>
        </w:rPr>
      </w:pPr>
    </w:p>
    <w:p w14:paraId="4737AD4A">
      <w:pPr>
        <w:kinsoku w:val="0"/>
        <w:adjustRightInd w:val="0"/>
        <w:snapToGrid w:val="0"/>
        <w:spacing w:line="520" w:lineRule="exact"/>
        <w:ind w:firstLine="643" w:firstLineChars="200"/>
        <w:jc w:val="left"/>
        <w:rPr>
          <w:rFonts w:hint="eastAsia" w:ascii="宋体" w:hAnsi="宋体" w:eastAsia="宋体" w:cs="宋体"/>
          <w:b/>
          <w:bCs/>
          <w:color w:val="FF0000"/>
          <w:kern w:val="0"/>
          <w:sz w:val="32"/>
          <w:szCs w:val="32"/>
          <w:lang w:val="en-US" w:eastAsia="zh-CN"/>
        </w:rPr>
      </w:pPr>
    </w:p>
    <w:p w14:paraId="44C75EA5">
      <w:pPr>
        <w:kinsoku w:val="0"/>
        <w:adjustRightInd w:val="0"/>
        <w:snapToGrid w:val="0"/>
        <w:spacing w:line="520" w:lineRule="exact"/>
        <w:ind w:firstLine="643" w:firstLineChars="200"/>
        <w:jc w:val="left"/>
        <w:rPr>
          <w:rFonts w:hint="eastAsia" w:ascii="宋体" w:hAnsi="宋体" w:eastAsia="宋体" w:cs="宋体"/>
          <w:b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32"/>
          <w:szCs w:val="32"/>
          <w:lang w:val="en-US" w:eastAsia="zh-CN"/>
        </w:rPr>
        <w:t>附件：</w:t>
      </w:r>
    </w:p>
    <w:p w14:paraId="5965DD74">
      <w:pPr>
        <w:kinsoku w:val="0"/>
        <w:adjustRightInd w:val="0"/>
        <w:snapToGrid w:val="0"/>
        <w:spacing w:line="520" w:lineRule="exact"/>
        <w:ind w:firstLine="643" w:firstLineChars="200"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32"/>
          <w:szCs w:val="32"/>
        </w:rPr>
        <w:t>通识教育中心</w:t>
      </w:r>
      <w:r>
        <w:rPr>
          <w:rFonts w:hint="eastAsia" w:ascii="宋体" w:hAnsi="宋体" w:eastAsia="宋体" w:cs="宋体"/>
          <w:b/>
          <w:bCs/>
          <w:color w:val="auto"/>
          <w:kern w:val="0"/>
          <w:sz w:val="32"/>
          <w:szCs w:val="32"/>
          <w:lang w:val="en-US" w:eastAsia="zh-CN"/>
        </w:rPr>
        <w:t>年度考核指标</w:t>
      </w:r>
    </w:p>
    <w:p w14:paraId="6CC58393">
      <w:pPr>
        <w:kinsoku w:val="0"/>
        <w:adjustRightInd w:val="0"/>
        <w:snapToGrid w:val="0"/>
        <w:spacing w:line="520" w:lineRule="exact"/>
        <w:ind w:firstLine="643" w:firstLineChars="200"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32"/>
          <w:szCs w:val="32"/>
          <w:lang w:val="en-US" w:eastAsia="zh-CN"/>
        </w:rPr>
      </w:pPr>
    </w:p>
    <w:tbl>
      <w:tblPr>
        <w:tblStyle w:val="2"/>
        <w:tblW w:w="8736" w:type="dxa"/>
        <w:tblInd w:w="-16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8"/>
        <w:gridCol w:w="7098"/>
      </w:tblGrid>
      <w:tr w14:paraId="40C75B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638" w:type="dxa"/>
            <w:vAlign w:val="center"/>
          </w:tcPr>
          <w:p w14:paraId="32175A29">
            <w:pPr>
              <w:kinsoku w:val="0"/>
              <w:adjustRightInd w:val="0"/>
              <w:snapToGrid w:val="0"/>
              <w:spacing w:line="520" w:lineRule="exact"/>
              <w:jc w:val="center"/>
              <w:rPr>
                <w:rFonts w:ascii="仿宋_GB2312" w:hAnsi="仿宋_GB2312" w:cs="仿宋_GB2312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/>
                <w:bCs/>
                <w:color w:val="auto"/>
                <w:sz w:val="28"/>
                <w:szCs w:val="28"/>
              </w:rPr>
              <w:t>指标</w:t>
            </w:r>
          </w:p>
        </w:tc>
        <w:tc>
          <w:tcPr>
            <w:tcW w:w="7098" w:type="dxa"/>
            <w:vAlign w:val="center"/>
          </w:tcPr>
          <w:p w14:paraId="7EC1F0E8">
            <w:pPr>
              <w:kinsoku w:val="0"/>
              <w:adjustRightInd w:val="0"/>
              <w:snapToGrid w:val="0"/>
              <w:spacing w:line="520" w:lineRule="exact"/>
              <w:jc w:val="center"/>
              <w:rPr>
                <w:rFonts w:ascii="仿宋_GB2312" w:hAnsi="仿宋_GB2312" w:cs="仿宋_GB2312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/>
                <w:bCs/>
                <w:color w:val="auto"/>
                <w:sz w:val="28"/>
                <w:szCs w:val="28"/>
              </w:rPr>
              <w:t>指标涵义</w:t>
            </w:r>
          </w:p>
        </w:tc>
      </w:tr>
      <w:tr w14:paraId="571C6C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9" w:hRule="atLeast"/>
        </w:trPr>
        <w:tc>
          <w:tcPr>
            <w:tcW w:w="1638" w:type="dxa"/>
            <w:shd w:val="clear" w:color="auto" w:fill="auto"/>
            <w:vAlign w:val="top"/>
          </w:tcPr>
          <w:p w14:paraId="7C6875EA">
            <w:pPr>
              <w:spacing w:line="520" w:lineRule="exact"/>
              <w:jc w:val="both"/>
              <w:rPr>
                <w:rFonts w:ascii="仿宋_GB2312" w:hAnsi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</w:rPr>
              <w:t>课程建设规划与实施</w:t>
            </w:r>
          </w:p>
          <w:p w14:paraId="373094A0">
            <w:pPr>
              <w:spacing w:line="520" w:lineRule="exact"/>
              <w:jc w:val="both"/>
              <w:rPr>
                <w:rFonts w:ascii="仿宋_GB2312" w:hAnsi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</w:rPr>
              <w:t>（</w:t>
            </w: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</w:rPr>
              <w:t>0分）</w:t>
            </w:r>
          </w:p>
        </w:tc>
        <w:tc>
          <w:tcPr>
            <w:tcW w:w="7098" w:type="dxa"/>
            <w:shd w:val="clear" w:color="auto" w:fill="auto"/>
            <w:vAlign w:val="top"/>
          </w:tcPr>
          <w:p w14:paraId="3E9E0B2D">
            <w:pPr>
              <w:numPr>
                <w:ilvl w:val="0"/>
                <w:numId w:val="2"/>
              </w:numPr>
              <w:spacing w:line="520" w:lineRule="exact"/>
              <w:jc w:val="both"/>
              <w:rPr>
                <w:rFonts w:ascii="仿宋_GB2312" w:hAnsi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</w:rPr>
              <w:t>课程建设规划及实施情况。</w:t>
            </w:r>
          </w:p>
          <w:p w14:paraId="64C339CE">
            <w:pPr>
              <w:numPr>
                <w:ilvl w:val="255"/>
                <w:numId w:val="0"/>
              </w:numPr>
              <w:spacing w:line="520" w:lineRule="exact"/>
              <w:jc w:val="both"/>
              <w:rPr>
                <w:rFonts w:ascii="仿宋_GB2312" w:hAnsi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</w:rPr>
              <w:t>2.课程教学改革、课程建设、教材建设情况。</w:t>
            </w:r>
          </w:p>
          <w:p w14:paraId="4EA4A140">
            <w:pPr>
              <w:spacing w:line="520" w:lineRule="exact"/>
              <w:jc w:val="both"/>
              <w:rPr>
                <w:rFonts w:ascii="仿宋_GB2312" w:hAnsi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</w:rPr>
              <w:t>3.课程教学改革成果情况。</w:t>
            </w:r>
          </w:p>
        </w:tc>
      </w:tr>
      <w:tr w14:paraId="2291F0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7" w:hRule="atLeast"/>
        </w:trPr>
        <w:tc>
          <w:tcPr>
            <w:tcW w:w="1638" w:type="dxa"/>
            <w:vAlign w:val="top"/>
          </w:tcPr>
          <w:p w14:paraId="7EEDFE0A">
            <w:pPr>
              <w:spacing w:line="520" w:lineRule="exact"/>
              <w:jc w:val="both"/>
              <w:rPr>
                <w:rFonts w:ascii="仿宋_GB2312" w:hAnsi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</w:rPr>
              <w:t>课程教学质量管理</w:t>
            </w:r>
          </w:p>
          <w:p w14:paraId="52F7E7E7">
            <w:pPr>
              <w:spacing w:line="520" w:lineRule="exact"/>
              <w:jc w:val="both"/>
              <w:rPr>
                <w:rFonts w:ascii="仿宋_GB2312" w:hAnsi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</w:rPr>
              <w:t>（</w:t>
            </w: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</w:rPr>
              <w:t>0分）</w:t>
            </w:r>
          </w:p>
        </w:tc>
        <w:tc>
          <w:tcPr>
            <w:tcW w:w="7098" w:type="dxa"/>
            <w:vAlign w:val="top"/>
          </w:tcPr>
          <w:p w14:paraId="09DD67F4">
            <w:pPr>
              <w:spacing w:line="520" w:lineRule="exact"/>
              <w:jc w:val="both"/>
              <w:rPr>
                <w:rFonts w:ascii="仿宋_GB2312" w:hAnsi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</w:rPr>
              <w:t>1.</w:t>
            </w:r>
            <w:bookmarkStart w:id="3" w:name="OLE_LINK1"/>
            <w:r>
              <w:rPr>
                <w:rFonts w:hint="eastAsia" w:ascii="仿宋_GB2312" w:hAnsi="仿宋_GB2312" w:cs="仿宋_GB2312"/>
                <w:color w:val="auto"/>
                <w:kern w:val="0"/>
                <w:sz w:val="28"/>
                <w:szCs w:val="28"/>
              </w:rPr>
              <w:t>通识选修模块课程教学质量管理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>情况</w:t>
            </w: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</w:rPr>
              <w:t>。</w:t>
            </w:r>
            <w:bookmarkEnd w:id="3"/>
          </w:p>
          <w:p w14:paraId="5DAF7953">
            <w:pPr>
              <w:spacing w:line="520" w:lineRule="exact"/>
              <w:jc w:val="both"/>
              <w:rPr>
                <w:rFonts w:ascii="仿宋_GB2312" w:hAnsi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</w:rPr>
              <w:t>2.开课量满足三校区学生学习需求情况。</w:t>
            </w:r>
          </w:p>
          <w:p w14:paraId="42B38D1A">
            <w:pPr>
              <w:spacing w:line="520" w:lineRule="exact"/>
              <w:jc w:val="both"/>
              <w:rPr>
                <w:rFonts w:ascii="仿宋_GB2312" w:hAnsi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</w:rPr>
              <w:t>3.学生对模块课程学习满意度评价情况。</w:t>
            </w:r>
          </w:p>
        </w:tc>
      </w:tr>
      <w:tr w14:paraId="1E5BB4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3" w:hRule="atLeast"/>
        </w:trPr>
        <w:tc>
          <w:tcPr>
            <w:tcW w:w="1638" w:type="dxa"/>
            <w:shd w:val="clear" w:color="auto" w:fill="auto"/>
            <w:vAlign w:val="top"/>
          </w:tcPr>
          <w:p w14:paraId="736CE6DA">
            <w:pPr>
              <w:adjustRightInd w:val="0"/>
              <w:snapToGrid w:val="0"/>
              <w:spacing w:line="520" w:lineRule="exact"/>
              <w:jc w:val="both"/>
              <w:rPr>
                <w:rFonts w:ascii="仿宋_GB2312" w:hAnsi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</w:rPr>
              <w:t>课程教学研究与实践</w:t>
            </w:r>
          </w:p>
          <w:p w14:paraId="011352E1">
            <w:pPr>
              <w:adjustRightInd w:val="0"/>
              <w:snapToGrid w:val="0"/>
              <w:spacing w:line="520" w:lineRule="exact"/>
              <w:jc w:val="both"/>
              <w:rPr>
                <w:rFonts w:ascii="仿宋_GB2312" w:hAnsi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</w:rPr>
              <w:t>（20分）</w:t>
            </w:r>
          </w:p>
        </w:tc>
        <w:tc>
          <w:tcPr>
            <w:tcW w:w="7098" w:type="dxa"/>
            <w:shd w:val="clear" w:color="auto" w:fill="auto"/>
            <w:vAlign w:val="top"/>
          </w:tcPr>
          <w:p w14:paraId="4AA3F9DB">
            <w:pPr>
              <w:numPr>
                <w:ilvl w:val="0"/>
                <w:numId w:val="3"/>
              </w:numPr>
              <w:spacing w:line="520" w:lineRule="exact"/>
              <w:ind w:left="319" w:hanging="319" w:hangingChars="114"/>
              <w:jc w:val="both"/>
              <w:rPr>
                <w:rFonts w:ascii="仿宋_GB2312" w:hAnsi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</w:rPr>
              <w:t>教研活动计划和教研活动情况。</w:t>
            </w:r>
          </w:p>
          <w:p w14:paraId="7BB4671B">
            <w:pPr>
              <w:numPr>
                <w:ilvl w:val="0"/>
                <w:numId w:val="3"/>
              </w:numPr>
              <w:spacing w:line="520" w:lineRule="exact"/>
              <w:ind w:left="319" w:hanging="319" w:hangingChars="114"/>
              <w:jc w:val="both"/>
              <w:rPr>
                <w:rFonts w:ascii="仿宋_GB2312" w:hAnsi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</w:rPr>
              <w:t>组织教师调研、观摩、培训情况。</w:t>
            </w:r>
          </w:p>
          <w:p w14:paraId="1786F00C">
            <w:pPr>
              <w:numPr>
                <w:ilvl w:val="0"/>
                <w:numId w:val="3"/>
              </w:numPr>
              <w:spacing w:line="520" w:lineRule="exact"/>
              <w:jc w:val="both"/>
              <w:rPr>
                <w:rFonts w:ascii="仿宋_GB2312" w:hAnsi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</w:rPr>
              <w:t>组织通识课程大讲堂等活动情况。</w:t>
            </w:r>
          </w:p>
          <w:p w14:paraId="4787C98C">
            <w:pPr>
              <w:spacing w:line="520" w:lineRule="exact"/>
              <w:jc w:val="both"/>
              <w:rPr>
                <w:rFonts w:ascii="仿宋_GB2312" w:hAnsi="仿宋_GB2312" w:cs="仿宋_GB2312"/>
                <w:color w:val="auto"/>
                <w:sz w:val="28"/>
                <w:szCs w:val="28"/>
              </w:rPr>
            </w:pPr>
          </w:p>
        </w:tc>
      </w:tr>
      <w:tr w14:paraId="1563A9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1638" w:type="dxa"/>
            <w:vAlign w:val="top"/>
          </w:tcPr>
          <w:p w14:paraId="7288FC32">
            <w:pPr>
              <w:spacing w:line="520" w:lineRule="exact"/>
              <w:jc w:val="both"/>
              <w:rPr>
                <w:rFonts w:ascii="仿宋_GB2312" w:hAnsi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</w:rPr>
              <w:t>经费管理</w:t>
            </w:r>
          </w:p>
          <w:p w14:paraId="189F2683">
            <w:pPr>
              <w:spacing w:line="520" w:lineRule="exact"/>
              <w:jc w:val="both"/>
              <w:rPr>
                <w:rFonts w:ascii="仿宋_GB2312" w:hAnsi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</w:rPr>
              <w:t>（20分）</w:t>
            </w:r>
          </w:p>
        </w:tc>
        <w:tc>
          <w:tcPr>
            <w:tcW w:w="7098" w:type="dxa"/>
            <w:vAlign w:val="top"/>
          </w:tcPr>
          <w:p w14:paraId="02975F38">
            <w:pPr>
              <w:numPr>
                <w:ilvl w:val="0"/>
                <w:numId w:val="4"/>
              </w:numPr>
              <w:spacing w:line="520" w:lineRule="exact"/>
              <w:jc w:val="both"/>
              <w:rPr>
                <w:rFonts w:ascii="仿宋_GB2312" w:hAnsi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</w:rPr>
              <w:t>委托管理学院有配套支持经费。</w:t>
            </w:r>
          </w:p>
          <w:p w14:paraId="50395D26">
            <w:pPr>
              <w:numPr>
                <w:ilvl w:val="0"/>
                <w:numId w:val="4"/>
              </w:numPr>
              <w:spacing w:line="520" w:lineRule="exact"/>
              <w:jc w:val="both"/>
              <w:rPr>
                <w:rFonts w:ascii="仿宋_GB2312" w:hAnsi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</w:rPr>
              <w:t>经费按管理办法规定使用</w:t>
            </w: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lang w:val="en-US" w:eastAsia="zh-CN"/>
              </w:rPr>
              <w:t>情况</w:t>
            </w: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</w:rPr>
              <w:t>。</w:t>
            </w:r>
          </w:p>
          <w:p w14:paraId="4A395140">
            <w:pPr>
              <w:numPr>
                <w:ilvl w:val="0"/>
                <w:numId w:val="4"/>
              </w:numPr>
              <w:spacing w:line="520" w:lineRule="exact"/>
              <w:ind w:left="319" w:hanging="319" w:hangingChars="114"/>
              <w:jc w:val="both"/>
              <w:rPr>
                <w:rFonts w:ascii="仿宋_GB2312" w:hAnsi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</w:rPr>
              <w:t>经费用于支持通识选修课程开展教学改革和教学建设、</w:t>
            </w: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lang w:val="zh-CN"/>
              </w:rPr>
              <w:t>组织通识课程大讲堂、</w:t>
            </w: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</w:rPr>
              <w:t>组织课程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8"/>
                <w:szCs w:val="28"/>
              </w:rPr>
              <w:t>推介</w:t>
            </w: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</w:rPr>
              <w:t>活动等情况。</w:t>
            </w:r>
          </w:p>
        </w:tc>
      </w:tr>
    </w:tbl>
    <w:p w14:paraId="514F5201">
      <w:pPr>
        <w:adjustRightInd w:val="0"/>
        <w:snapToGrid w:val="0"/>
        <w:spacing w:line="520" w:lineRule="exact"/>
        <w:rPr>
          <w:rFonts w:ascii="仿宋_GB2312" w:hAnsi="仿宋_GB2312" w:cs="仿宋_GB2312"/>
          <w:color w:val="auto"/>
          <w:sz w:val="28"/>
          <w:szCs w:val="28"/>
        </w:rPr>
      </w:pPr>
    </w:p>
    <w:p w14:paraId="34AFB89B">
      <w:r>
        <w:rPr>
          <w:rFonts w:hint="eastAsia" w:ascii="黑体" w:hAnsi="黑体" w:eastAsia="黑体" w:cs="黑体"/>
          <w:b/>
          <w:bCs/>
          <w:color w:val="auto"/>
          <w:kern w:val="0"/>
          <w:sz w:val="28"/>
          <w:szCs w:val="28"/>
        </w:rPr>
        <w:t>本办法自公布之日起执行。本办法解释权属通</w:t>
      </w:r>
      <w:r>
        <w:rPr>
          <w:rFonts w:hint="eastAsia" w:ascii="黑体" w:hAnsi="黑体" w:eastAsia="黑体" w:cs="黑体"/>
          <w:b/>
          <w:bCs/>
          <w:color w:val="040404"/>
          <w:kern w:val="0"/>
          <w:sz w:val="28"/>
          <w:szCs w:val="28"/>
        </w:rPr>
        <w:t>识教育中心。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C7F6748"/>
    <w:multiLevelType w:val="singleLevel"/>
    <w:tmpl w:val="8C7F6748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ACA5D74A"/>
    <w:multiLevelType w:val="singleLevel"/>
    <w:tmpl w:val="ACA5D74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0ECB8A14"/>
    <w:multiLevelType w:val="singleLevel"/>
    <w:tmpl w:val="0ECB8A14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677ECF28"/>
    <w:multiLevelType w:val="singleLevel"/>
    <w:tmpl w:val="677ECF28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Y1ZjU2M2ZhOTk5ZGRkN2U4N2FlYjFjZmIxZDkwMGMifQ=="/>
  </w:docVars>
  <w:rsids>
    <w:rsidRoot w:val="0B2932F8"/>
    <w:rsid w:val="000A3189"/>
    <w:rsid w:val="002D6B1A"/>
    <w:rsid w:val="0042722C"/>
    <w:rsid w:val="005562DC"/>
    <w:rsid w:val="00845590"/>
    <w:rsid w:val="01C62F7E"/>
    <w:rsid w:val="021A1C44"/>
    <w:rsid w:val="02390587"/>
    <w:rsid w:val="02E13FA3"/>
    <w:rsid w:val="031175BF"/>
    <w:rsid w:val="03127926"/>
    <w:rsid w:val="03D26B40"/>
    <w:rsid w:val="04494535"/>
    <w:rsid w:val="04D806FC"/>
    <w:rsid w:val="060C78FC"/>
    <w:rsid w:val="06FF30B5"/>
    <w:rsid w:val="078D5106"/>
    <w:rsid w:val="07B14943"/>
    <w:rsid w:val="09163693"/>
    <w:rsid w:val="09B259AA"/>
    <w:rsid w:val="09C54D02"/>
    <w:rsid w:val="0A754223"/>
    <w:rsid w:val="0AD95BD9"/>
    <w:rsid w:val="0B2932F8"/>
    <w:rsid w:val="0C0054E2"/>
    <w:rsid w:val="0C0A3890"/>
    <w:rsid w:val="0C1E5651"/>
    <w:rsid w:val="0D177E07"/>
    <w:rsid w:val="0E0C489A"/>
    <w:rsid w:val="0E1869E8"/>
    <w:rsid w:val="0ED6779A"/>
    <w:rsid w:val="0EFF5725"/>
    <w:rsid w:val="0F487B96"/>
    <w:rsid w:val="0F5478D5"/>
    <w:rsid w:val="0F6952E2"/>
    <w:rsid w:val="10EE71A0"/>
    <w:rsid w:val="11576D6C"/>
    <w:rsid w:val="123F7905"/>
    <w:rsid w:val="12E24EE2"/>
    <w:rsid w:val="13C00261"/>
    <w:rsid w:val="13D9296D"/>
    <w:rsid w:val="14C842E9"/>
    <w:rsid w:val="160F4909"/>
    <w:rsid w:val="16FB24B5"/>
    <w:rsid w:val="17804D03"/>
    <w:rsid w:val="1840688C"/>
    <w:rsid w:val="184C0B1F"/>
    <w:rsid w:val="19FD43B8"/>
    <w:rsid w:val="1AE5018D"/>
    <w:rsid w:val="1BBC0395"/>
    <w:rsid w:val="1CA54A08"/>
    <w:rsid w:val="1CB37368"/>
    <w:rsid w:val="1D4737B9"/>
    <w:rsid w:val="1EAB6ADD"/>
    <w:rsid w:val="1EDF6D85"/>
    <w:rsid w:val="1F0F4509"/>
    <w:rsid w:val="22F04DA9"/>
    <w:rsid w:val="244F40DF"/>
    <w:rsid w:val="249D79E0"/>
    <w:rsid w:val="24C0764C"/>
    <w:rsid w:val="250152CA"/>
    <w:rsid w:val="25AD2E01"/>
    <w:rsid w:val="25B37A71"/>
    <w:rsid w:val="27694FC9"/>
    <w:rsid w:val="285A0A65"/>
    <w:rsid w:val="288C3979"/>
    <w:rsid w:val="28B907C4"/>
    <w:rsid w:val="292C6DEB"/>
    <w:rsid w:val="292D1032"/>
    <w:rsid w:val="29775866"/>
    <w:rsid w:val="2D6C37BC"/>
    <w:rsid w:val="2DEE04EE"/>
    <w:rsid w:val="2DF4473E"/>
    <w:rsid w:val="2E476A2D"/>
    <w:rsid w:val="2EB022AD"/>
    <w:rsid w:val="2EC772E2"/>
    <w:rsid w:val="301A7572"/>
    <w:rsid w:val="307A373A"/>
    <w:rsid w:val="31584F62"/>
    <w:rsid w:val="32C54959"/>
    <w:rsid w:val="335D7350"/>
    <w:rsid w:val="33D05B65"/>
    <w:rsid w:val="342B5206"/>
    <w:rsid w:val="34926EB5"/>
    <w:rsid w:val="34BB0D1E"/>
    <w:rsid w:val="356B1C85"/>
    <w:rsid w:val="35B30245"/>
    <w:rsid w:val="35B4113B"/>
    <w:rsid w:val="35EF74CF"/>
    <w:rsid w:val="35FB6DB6"/>
    <w:rsid w:val="36C249A4"/>
    <w:rsid w:val="38B80F5D"/>
    <w:rsid w:val="39673821"/>
    <w:rsid w:val="39E112E1"/>
    <w:rsid w:val="3AAA2B43"/>
    <w:rsid w:val="3B314E6B"/>
    <w:rsid w:val="3B3F4ABE"/>
    <w:rsid w:val="3BAE20E3"/>
    <w:rsid w:val="3BD145A1"/>
    <w:rsid w:val="3FFF6D0B"/>
    <w:rsid w:val="40FF73AA"/>
    <w:rsid w:val="41720C98"/>
    <w:rsid w:val="41A53138"/>
    <w:rsid w:val="41E779C5"/>
    <w:rsid w:val="428546F6"/>
    <w:rsid w:val="42CD30C7"/>
    <w:rsid w:val="42EA7CF8"/>
    <w:rsid w:val="43C03F34"/>
    <w:rsid w:val="43E30E9C"/>
    <w:rsid w:val="44116112"/>
    <w:rsid w:val="448E25C8"/>
    <w:rsid w:val="45AF6D67"/>
    <w:rsid w:val="460F6EFA"/>
    <w:rsid w:val="465423AB"/>
    <w:rsid w:val="46C6652F"/>
    <w:rsid w:val="47155D3F"/>
    <w:rsid w:val="47361DE7"/>
    <w:rsid w:val="48867CD4"/>
    <w:rsid w:val="49607809"/>
    <w:rsid w:val="49634243"/>
    <w:rsid w:val="49857747"/>
    <w:rsid w:val="4B447DB6"/>
    <w:rsid w:val="4BA007A9"/>
    <w:rsid w:val="4BAB0193"/>
    <w:rsid w:val="4C39104D"/>
    <w:rsid w:val="4C6939FC"/>
    <w:rsid w:val="4D3C4CDF"/>
    <w:rsid w:val="4DAE159A"/>
    <w:rsid w:val="4DE81F80"/>
    <w:rsid w:val="4E40453B"/>
    <w:rsid w:val="4EA20AE9"/>
    <w:rsid w:val="4F565E17"/>
    <w:rsid w:val="4F6D19B1"/>
    <w:rsid w:val="4F8D0B91"/>
    <w:rsid w:val="51392987"/>
    <w:rsid w:val="51CB65E1"/>
    <w:rsid w:val="51DD3CE7"/>
    <w:rsid w:val="5245699D"/>
    <w:rsid w:val="53060259"/>
    <w:rsid w:val="54DC6BBB"/>
    <w:rsid w:val="55F14746"/>
    <w:rsid w:val="56495CFF"/>
    <w:rsid w:val="58CA6BBC"/>
    <w:rsid w:val="59365A86"/>
    <w:rsid w:val="599B3826"/>
    <w:rsid w:val="59EB15C2"/>
    <w:rsid w:val="5AFC71CF"/>
    <w:rsid w:val="5BB46942"/>
    <w:rsid w:val="5C19125E"/>
    <w:rsid w:val="5C870529"/>
    <w:rsid w:val="5CD94B1D"/>
    <w:rsid w:val="5D652772"/>
    <w:rsid w:val="5D931564"/>
    <w:rsid w:val="5EC60021"/>
    <w:rsid w:val="5F7F1015"/>
    <w:rsid w:val="60072DA1"/>
    <w:rsid w:val="63366183"/>
    <w:rsid w:val="644F65D7"/>
    <w:rsid w:val="64A31CBE"/>
    <w:rsid w:val="64F95096"/>
    <w:rsid w:val="654F6E94"/>
    <w:rsid w:val="662D4566"/>
    <w:rsid w:val="66CE3AA2"/>
    <w:rsid w:val="678E07DA"/>
    <w:rsid w:val="683F3918"/>
    <w:rsid w:val="693C671A"/>
    <w:rsid w:val="69EC5A11"/>
    <w:rsid w:val="6A0A597F"/>
    <w:rsid w:val="6A6C095A"/>
    <w:rsid w:val="6B137417"/>
    <w:rsid w:val="6B1D005F"/>
    <w:rsid w:val="6B5477F9"/>
    <w:rsid w:val="6BDF5315"/>
    <w:rsid w:val="6C55522C"/>
    <w:rsid w:val="6DA07D03"/>
    <w:rsid w:val="6E2F3C06"/>
    <w:rsid w:val="6F5A4F08"/>
    <w:rsid w:val="6FE72CBB"/>
    <w:rsid w:val="6FF944CB"/>
    <w:rsid w:val="70244373"/>
    <w:rsid w:val="709E3D5C"/>
    <w:rsid w:val="70C268AA"/>
    <w:rsid w:val="70D11692"/>
    <w:rsid w:val="719F0483"/>
    <w:rsid w:val="72A263D7"/>
    <w:rsid w:val="72E918B9"/>
    <w:rsid w:val="732D4C43"/>
    <w:rsid w:val="7343581A"/>
    <w:rsid w:val="746B686B"/>
    <w:rsid w:val="74A213D2"/>
    <w:rsid w:val="74B60BDD"/>
    <w:rsid w:val="76481D09"/>
    <w:rsid w:val="76BB2E09"/>
    <w:rsid w:val="76C96149"/>
    <w:rsid w:val="76FB2372"/>
    <w:rsid w:val="77B962E8"/>
    <w:rsid w:val="781367EF"/>
    <w:rsid w:val="78231647"/>
    <w:rsid w:val="78931961"/>
    <w:rsid w:val="79D07F0B"/>
    <w:rsid w:val="7A0E73A5"/>
    <w:rsid w:val="7A3829FB"/>
    <w:rsid w:val="7A3F5056"/>
    <w:rsid w:val="7ADC4FC9"/>
    <w:rsid w:val="7B4D4FB6"/>
    <w:rsid w:val="7CCA3081"/>
    <w:rsid w:val="7D8E7F71"/>
    <w:rsid w:val="7F795663"/>
    <w:rsid w:val="7FC33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Revision"/>
    <w:hidden/>
    <w:unhideWhenUsed/>
    <w:qFormat/>
    <w:uiPriority w:val="99"/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1868</Words>
  <Characters>1883</Characters>
  <Lines>13</Lines>
  <Paragraphs>3</Paragraphs>
  <TotalTime>19</TotalTime>
  <ScaleCrop>false</ScaleCrop>
  <LinksUpToDate>false</LinksUpToDate>
  <CharactersWithSpaces>1959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2025-01-09T02:40:00Z</dcterms:created>
  <dc:creator>卢丽</dc:creator>
  <cp:lastModifiedBy>卢丽</cp:lastModifiedBy>
  <dcterms:modified xsi:type="dcterms:W3CDTF">2025-04-15T06:56:06Z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41127B5DC4F244ECB42FBF547B5374DD_13</vt:lpwstr>
  </property>
</Properties>
</file>