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201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/>
          <w:sz w:val="30"/>
          <w:szCs w:val="30"/>
        </w:rPr>
        <w:t>级师范类学生专业确认实施办法</w:t>
      </w:r>
    </w:p>
    <w:p>
      <w:pPr>
        <w:rPr>
          <w:rFonts w:ascii="宋体" w:hAnsi="宋体" w:eastAsia="宋体"/>
          <w:sz w:val="24"/>
          <w:szCs w:val="24"/>
        </w:rPr>
      </w:pPr>
      <w:r>
        <w:t xml:space="preserve">    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根据《浙江工业大学本科学生专业确认实施办法》特制订师范大类所属四个本科专业学生专业确认实施办法。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专业确认的基本原则</w:t>
      </w:r>
    </w:p>
    <w:p>
      <w:pPr>
        <w:pStyle w:val="9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专业确认的学生范围是当年被录取的“师范专业”大类学生。专业包括“机械工程（师范）”、“电气工程及其自动化（师范）”、“教育技术学（师范）”及“计算机科学与技术（师范）”共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个专业。</w:t>
      </w:r>
    </w:p>
    <w:p>
      <w:pPr>
        <w:pStyle w:val="9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公开、公平、公正的原则。</w:t>
      </w:r>
    </w:p>
    <w:p>
      <w:pPr>
        <w:pStyle w:val="9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志愿优先、择优准入原则。</w:t>
      </w:r>
    </w:p>
    <w:p>
      <w:pPr>
        <w:pStyle w:val="9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各专业省外、省内录取人数按原招生人数比例划分。</w:t>
      </w:r>
    </w:p>
    <w:p>
      <w:pPr>
        <w:pStyle w:val="9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各专业按照当年招生计划数接收学生，当学生一志愿率超过专业招生计划的</w:t>
      </w:r>
      <w:r>
        <w:rPr>
          <w:rFonts w:ascii="宋体" w:hAnsi="宋体" w:eastAsia="宋体"/>
          <w:sz w:val="24"/>
          <w:szCs w:val="24"/>
        </w:rPr>
        <w:t xml:space="preserve"> 150%</w:t>
      </w:r>
      <w:r>
        <w:rPr>
          <w:rFonts w:hint="eastAsia" w:ascii="宋体" w:hAnsi="宋体" w:eastAsia="宋体"/>
          <w:sz w:val="24"/>
          <w:szCs w:val="24"/>
        </w:rPr>
        <w:t>（含）时，招生计划不上浮。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专业确认的组织管理及遴选办法</w:t>
      </w:r>
    </w:p>
    <w:p>
      <w:pPr>
        <w:pStyle w:val="9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学校成立师范类专业确认工作小组，负责实施专业确认工作。</w:t>
      </w:r>
    </w:p>
    <w:p>
      <w:pPr>
        <w:pStyle w:val="9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学生根据自身意愿填写专业确认表格，浙江省内学生提交类内所有专业志愿的顺序，省外学生在原高考志愿类中按顺序填报专业。</w:t>
      </w:r>
    </w:p>
    <w:p>
      <w:pPr>
        <w:pStyle w:val="9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对高考成绩位次号在全省前</w:t>
      </w:r>
      <w:r>
        <w:rPr>
          <w:rFonts w:ascii="宋体" w:hAnsi="宋体" w:eastAsia="宋体"/>
          <w:sz w:val="24"/>
          <w:szCs w:val="24"/>
        </w:rPr>
        <w:t>6000</w:t>
      </w:r>
      <w:r>
        <w:rPr>
          <w:rFonts w:hint="eastAsia" w:ascii="宋体" w:hAnsi="宋体" w:eastAsia="宋体"/>
          <w:sz w:val="24"/>
          <w:szCs w:val="24"/>
        </w:rPr>
        <w:t>名（含）的浙江省进档考生，在专业确认时，确保满足学生所填的第一专业志愿（外省普通高考学生适用相同规则）；高考成绩位次号在全省前</w:t>
      </w:r>
      <w:r>
        <w:rPr>
          <w:rFonts w:ascii="宋体" w:hAnsi="宋体" w:eastAsia="宋体"/>
          <w:sz w:val="24"/>
          <w:szCs w:val="24"/>
        </w:rPr>
        <w:t>9000</w:t>
      </w:r>
      <w:r>
        <w:rPr>
          <w:rFonts w:hint="eastAsia" w:ascii="宋体" w:hAnsi="宋体" w:eastAsia="宋体"/>
          <w:sz w:val="24"/>
          <w:szCs w:val="24"/>
        </w:rPr>
        <w:t>名（含）的浙江省进档考生，在专业确认时，确保满足学生所填的前两个专业志愿的其中一个（外省普通高考学生适用相同规则）。</w:t>
      </w:r>
    </w:p>
    <w:p>
      <w:pPr>
        <w:pStyle w:val="9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浙江省内生源大类内的专业确认分两轮进行确认。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第一轮按高考成绩进行专业确认。对于浙江省内学生，首先按高考成绩位次号直接确认各专业设定的省内名额数的</w:t>
      </w:r>
      <w:r>
        <w:rPr>
          <w:rFonts w:ascii="宋体" w:hAnsi="宋体" w:eastAsia="宋体"/>
          <w:sz w:val="24"/>
          <w:szCs w:val="24"/>
        </w:rPr>
        <w:t>50</w:t>
      </w:r>
      <w:r>
        <w:rPr>
          <w:rFonts w:hint="eastAsia" w:ascii="宋体" w:hAnsi="宋体" w:eastAsia="宋体"/>
          <w:sz w:val="24"/>
          <w:szCs w:val="24"/>
        </w:rPr>
        <w:t>％，同时被确认的学生必须满足主干课程（高等数学）期中考试无不及格的课程条件。当申请学生数不大于该专业设定的省内名额数的</w:t>
      </w:r>
      <w:r>
        <w:rPr>
          <w:rFonts w:ascii="宋体" w:hAnsi="宋体" w:eastAsia="宋体"/>
          <w:sz w:val="24"/>
          <w:szCs w:val="24"/>
        </w:rPr>
        <w:t>50</w:t>
      </w:r>
      <w:r>
        <w:rPr>
          <w:rFonts w:hint="eastAsia" w:ascii="宋体" w:hAnsi="宋体" w:eastAsia="宋体"/>
          <w:sz w:val="24"/>
          <w:szCs w:val="24"/>
        </w:rPr>
        <w:t>％时，应无条件接受所有填报学生；当申请学生数大于该专业设定的省内名额数的</w:t>
      </w:r>
      <w:r>
        <w:rPr>
          <w:rFonts w:ascii="宋体" w:hAnsi="宋体" w:eastAsia="宋体"/>
          <w:sz w:val="24"/>
          <w:szCs w:val="24"/>
        </w:rPr>
        <w:t>50</w:t>
      </w:r>
      <w:r>
        <w:rPr>
          <w:rFonts w:hint="eastAsia" w:ascii="宋体" w:hAnsi="宋体" w:eastAsia="宋体"/>
          <w:sz w:val="24"/>
          <w:szCs w:val="24"/>
        </w:rPr>
        <w:t>％时，应依据高考成绩位次号确认。每个学生第一轮最多可填报大类内三个专业志愿，所填报的专业志愿须为大类内的专业。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二轮按综合成绩进行确认。在第一轮确认工作结束后，剩余未确认的学生重新填报志愿。当第二轮各专业填报人数在专业剩余接收计划人数范围内，接受所有填报学生。当填报人数超过接收计划时，按高考总分（折合成百分制，即：（高考总分</w:t>
      </w:r>
      <w:r>
        <w:rPr>
          <w:rFonts w:ascii="宋体" w:hAnsi="宋体" w:eastAsia="宋体"/>
          <w:sz w:val="24"/>
          <w:szCs w:val="24"/>
        </w:rPr>
        <w:t>/750)</w:t>
      </w:r>
      <w:r>
        <w:rPr>
          <w:rFonts w:hint="eastAsia" w:ascii="宋体" w:hAnsi="宋体" w:eastAsia="宋体"/>
          <w:sz w:val="24"/>
          <w:szCs w:val="24"/>
        </w:rPr>
        <w:t>×</w:t>
      </w:r>
      <w:r>
        <w:rPr>
          <w:rFonts w:ascii="宋体" w:hAnsi="宋体" w:eastAsia="宋体"/>
          <w:sz w:val="24"/>
          <w:szCs w:val="24"/>
        </w:rPr>
        <w:t>100</w:t>
      </w:r>
      <w:r>
        <w:rPr>
          <w:rFonts w:hint="eastAsia" w:ascii="宋体" w:hAnsi="宋体" w:eastAsia="宋体"/>
          <w:sz w:val="24"/>
          <w:szCs w:val="24"/>
        </w:rPr>
        <w:t>）占</w:t>
      </w:r>
      <w:r>
        <w:rPr>
          <w:rFonts w:ascii="宋体" w:hAnsi="宋体" w:eastAsia="宋体"/>
          <w:sz w:val="24"/>
          <w:szCs w:val="24"/>
        </w:rPr>
        <w:t>95%</w:t>
      </w:r>
      <w:r>
        <w:rPr>
          <w:rFonts w:hint="eastAsia" w:ascii="宋体" w:hAnsi="宋体" w:eastAsia="宋体"/>
          <w:sz w:val="24"/>
          <w:szCs w:val="24"/>
        </w:rPr>
        <w:t>、第一学期《高等数学》期中考试分数（总分</w:t>
      </w:r>
      <w:r>
        <w:rPr>
          <w:rFonts w:ascii="宋体" w:hAnsi="宋体" w:eastAsia="宋体"/>
          <w:sz w:val="24"/>
          <w:szCs w:val="24"/>
        </w:rPr>
        <w:t>100</w:t>
      </w:r>
      <w:r>
        <w:rPr>
          <w:rFonts w:hint="eastAsia" w:ascii="宋体" w:hAnsi="宋体" w:eastAsia="宋体"/>
          <w:sz w:val="24"/>
          <w:szCs w:val="24"/>
        </w:rPr>
        <w:t>分）占</w:t>
      </w:r>
      <w:r>
        <w:rPr>
          <w:rFonts w:ascii="宋体" w:hAnsi="宋体" w:eastAsia="宋体"/>
          <w:sz w:val="24"/>
          <w:szCs w:val="24"/>
        </w:rPr>
        <w:t>5%</w:t>
      </w:r>
      <w:r>
        <w:rPr>
          <w:rFonts w:hint="eastAsia" w:ascii="宋体" w:hAnsi="宋体" w:eastAsia="宋体"/>
          <w:sz w:val="24"/>
          <w:szCs w:val="24"/>
        </w:rPr>
        <w:t>来计算综合得分，从得分由高到低择优确认。没有被确认学生顺延至下一个没有确认满的志愿专业，按同样方法择优确认。如综合得分相同（小数点后三位），则按高考位次号确认。每个学生第二轮必须按次序填满大类内所有志愿，且不得重复填报。</w:t>
      </w:r>
    </w:p>
    <w:p>
      <w:pPr>
        <w:pStyle w:val="9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在第一轮中专业确认已完成的学生，不得放弃。</w:t>
      </w:r>
    </w:p>
    <w:p>
      <w:pPr>
        <w:pStyle w:val="9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师范类工作小组将专业确认名单交健行书院予以公示，公示无异议后交学校专业确认工作领导小组审批，最后交学校教务处进行学生相应学籍确认处理。</w:t>
      </w:r>
    </w:p>
    <w:p>
      <w:pPr>
        <w:pStyle w:val="9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师范类专业确认工作在新生第一学期第</w:t>
      </w:r>
      <w:r>
        <w:rPr>
          <w:rFonts w:ascii="宋体" w:hAnsi="宋体" w:eastAsia="宋体"/>
          <w:sz w:val="24"/>
          <w:szCs w:val="24"/>
        </w:rPr>
        <w:t>10-12</w:t>
      </w:r>
      <w:r>
        <w:rPr>
          <w:rFonts w:hint="eastAsia" w:ascii="宋体" w:hAnsi="宋体" w:eastAsia="宋体"/>
          <w:sz w:val="24"/>
          <w:szCs w:val="24"/>
        </w:rPr>
        <w:t>教学周内完成。</w:t>
      </w:r>
    </w:p>
    <w:p>
      <w:pPr>
        <w:pStyle w:val="9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本实施细则自</w:t>
      </w:r>
      <w:r>
        <w:rPr>
          <w:rFonts w:ascii="宋体" w:hAnsi="宋体" w:eastAsia="宋体"/>
          <w:sz w:val="24"/>
          <w:szCs w:val="24"/>
        </w:rPr>
        <w:t>201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级全日制普通本科生开始实施，由师范类工作小组负责解释。</w:t>
      </w:r>
    </w:p>
    <w:p>
      <w:pPr>
        <w:pStyle w:val="9"/>
        <w:ind w:left="360" w:firstLine="0"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                                                                      </w:t>
      </w:r>
    </w:p>
    <w:p>
      <w:pPr>
        <w:pStyle w:val="9"/>
        <w:ind w:left="4324" w:leftChars="1638" w:hanging="720" w:hanging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浙江工业大学师范大类专业确认小组</w:t>
      </w:r>
      <w:r>
        <w:rPr>
          <w:rFonts w:ascii="宋体" w:hAnsi="宋体" w:eastAsia="宋体"/>
          <w:sz w:val="24"/>
          <w:szCs w:val="24"/>
        </w:rPr>
        <w:t xml:space="preserve">                                                                          201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/>
          <w:sz w:val="24"/>
          <w:szCs w:val="24"/>
        </w:rPr>
        <w:t>日</w:t>
      </w:r>
    </w:p>
    <w:p>
      <w:pPr>
        <w:pStyle w:val="9"/>
        <w:ind w:left="360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</w:t>
      </w:r>
    </w:p>
    <w:p>
      <w:pPr>
        <w:pStyle w:val="9"/>
        <w:ind w:left="361" w:leftChars="164" w:firstLine="1200" w:firstLineChars="5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浙江工业大学</w:t>
      </w:r>
      <w:r>
        <w:rPr>
          <w:rFonts w:ascii="宋体" w:hAnsi="宋体" w:eastAsia="宋体"/>
          <w:sz w:val="24"/>
          <w:szCs w:val="24"/>
        </w:rPr>
        <w:t>201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级师范类本科学生专业确认分配表</w:t>
      </w:r>
    </w:p>
    <w:tbl>
      <w:tblPr>
        <w:tblStyle w:val="4"/>
        <w:tblW w:w="7970" w:type="dxa"/>
        <w:tblInd w:w="3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1417"/>
        <w:gridCol w:w="1701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  <w:vMerge w:val="restart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9"/>
              <w:spacing w:after="0"/>
              <w:ind w:firstLine="210" w:firstLineChars="1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包含专业名称</w:t>
            </w:r>
          </w:p>
        </w:tc>
        <w:tc>
          <w:tcPr>
            <w:tcW w:w="4961" w:type="dxa"/>
            <w:gridSpan w:val="3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专业接收计划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  <w:vMerge w:val="continue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总数</w:t>
            </w:r>
          </w:p>
        </w:tc>
        <w:tc>
          <w:tcPr>
            <w:tcW w:w="1701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第一轮计划</w:t>
            </w:r>
          </w:p>
        </w:tc>
        <w:tc>
          <w:tcPr>
            <w:tcW w:w="1843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第二轮计划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教育技术学（师范）</w:t>
            </w:r>
          </w:p>
        </w:tc>
        <w:tc>
          <w:tcPr>
            <w:tcW w:w="1417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01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43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电气工程及其自动化（师范）</w:t>
            </w:r>
          </w:p>
        </w:tc>
        <w:tc>
          <w:tcPr>
            <w:tcW w:w="1417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701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843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机械工程（师范）</w:t>
            </w:r>
          </w:p>
        </w:tc>
        <w:tc>
          <w:tcPr>
            <w:tcW w:w="1417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701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843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计算机科学与技术（师范）</w:t>
            </w:r>
          </w:p>
        </w:tc>
        <w:tc>
          <w:tcPr>
            <w:tcW w:w="1417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701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843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合计</w:t>
            </w:r>
          </w:p>
        </w:tc>
        <w:tc>
          <w:tcPr>
            <w:tcW w:w="1417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169</w:t>
            </w:r>
          </w:p>
        </w:tc>
        <w:tc>
          <w:tcPr>
            <w:tcW w:w="1701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1843" w:type="dxa"/>
          </w:tcPr>
          <w:p>
            <w:pPr>
              <w:pStyle w:val="9"/>
              <w:spacing w:after="0"/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84</w:t>
            </w:r>
            <w:bookmarkStart w:id="0" w:name="_GoBack"/>
            <w:bookmarkEnd w:id="0"/>
          </w:p>
        </w:tc>
      </w:tr>
    </w:tbl>
    <w:p>
      <w:pPr>
        <w:pStyle w:val="9"/>
        <w:ind w:left="360" w:firstLine="0" w:firstLineChars="0"/>
        <w:jc w:val="center"/>
        <w:rPr>
          <w:rFonts w:ascii="宋体" w:hAnsi="宋体" w:eastAsia="宋体"/>
          <w:color w:val="FF0000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0FB"/>
    <w:multiLevelType w:val="multilevel"/>
    <w:tmpl w:val="0C1F30FB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7AF1CDA"/>
    <w:multiLevelType w:val="multilevel"/>
    <w:tmpl w:val="57AF1CD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74202E1F"/>
    <w:multiLevelType w:val="multilevel"/>
    <w:tmpl w:val="74202E1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 w:val="1"/>
  <w:bordersDoNotSurroundFooter w:val="1"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131"/>
    <w:rsid w:val="000478A7"/>
    <w:rsid w:val="00057DBD"/>
    <w:rsid w:val="00082920"/>
    <w:rsid w:val="000853B2"/>
    <w:rsid w:val="000D1029"/>
    <w:rsid w:val="00125235"/>
    <w:rsid w:val="00132B22"/>
    <w:rsid w:val="00164C88"/>
    <w:rsid w:val="00195C12"/>
    <w:rsid w:val="001B4282"/>
    <w:rsid w:val="001F1244"/>
    <w:rsid w:val="00216985"/>
    <w:rsid w:val="00243F99"/>
    <w:rsid w:val="002508B6"/>
    <w:rsid w:val="00254522"/>
    <w:rsid w:val="002A2431"/>
    <w:rsid w:val="002A3CB6"/>
    <w:rsid w:val="002A78BA"/>
    <w:rsid w:val="00323B43"/>
    <w:rsid w:val="00330BB2"/>
    <w:rsid w:val="00371131"/>
    <w:rsid w:val="003D37D8"/>
    <w:rsid w:val="003E0C9C"/>
    <w:rsid w:val="003F0017"/>
    <w:rsid w:val="004332A0"/>
    <w:rsid w:val="004358AB"/>
    <w:rsid w:val="004511A8"/>
    <w:rsid w:val="004A52F7"/>
    <w:rsid w:val="005A17CD"/>
    <w:rsid w:val="005A48B4"/>
    <w:rsid w:val="006417D1"/>
    <w:rsid w:val="006C6D66"/>
    <w:rsid w:val="006E4077"/>
    <w:rsid w:val="006E75B8"/>
    <w:rsid w:val="00722B59"/>
    <w:rsid w:val="0073123A"/>
    <w:rsid w:val="007B77E2"/>
    <w:rsid w:val="007E5B38"/>
    <w:rsid w:val="00813400"/>
    <w:rsid w:val="00837EC1"/>
    <w:rsid w:val="008508AE"/>
    <w:rsid w:val="008A5B71"/>
    <w:rsid w:val="008B7726"/>
    <w:rsid w:val="008E79CA"/>
    <w:rsid w:val="008F3858"/>
    <w:rsid w:val="00917E62"/>
    <w:rsid w:val="00946726"/>
    <w:rsid w:val="00960429"/>
    <w:rsid w:val="009768AC"/>
    <w:rsid w:val="009C4DBC"/>
    <w:rsid w:val="009F64B4"/>
    <w:rsid w:val="00A2241C"/>
    <w:rsid w:val="00A2293E"/>
    <w:rsid w:val="00A25CD0"/>
    <w:rsid w:val="00A473FC"/>
    <w:rsid w:val="00A54FBE"/>
    <w:rsid w:val="00A66C9D"/>
    <w:rsid w:val="00A80737"/>
    <w:rsid w:val="00A9387E"/>
    <w:rsid w:val="00A96CB5"/>
    <w:rsid w:val="00AA382E"/>
    <w:rsid w:val="00B2160C"/>
    <w:rsid w:val="00B231A4"/>
    <w:rsid w:val="00B23F39"/>
    <w:rsid w:val="00B60606"/>
    <w:rsid w:val="00B81272"/>
    <w:rsid w:val="00BF0954"/>
    <w:rsid w:val="00C02198"/>
    <w:rsid w:val="00C527DA"/>
    <w:rsid w:val="00C86E6F"/>
    <w:rsid w:val="00CB3292"/>
    <w:rsid w:val="00CE3B87"/>
    <w:rsid w:val="00CF5E0A"/>
    <w:rsid w:val="00D627DE"/>
    <w:rsid w:val="00D70993"/>
    <w:rsid w:val="00DB2EC5"/>
    <w:rsid w:val="00E52757"/>
    <w:rsid w:val="00E86FD1"/>
    <w:rsid w:val="00E956F4"/>
    <w:rsid w:val="00EA77CE"/>
    <w:rsid w:val="00ED3462"/>
    <w:rsid w:val="00EE3A78"/>
    <w:rsid w:val="00F17B5B"/>
    <w:rsid w:val="00F531C9"/>
    <w:rsid w:val="00F917BB"/>
    <w:rsid w:val="00FE23AB"/>
    <w:rsid w:val="028A3E56"/>
    <w:rsid w:val="25C57B6B"/>
    <w:rsid w:val="3B4872EA"/>
    <w:rsid w:val="44736875"/>
    <w:rsid w:val="60C3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semiHidden/>
    <w:locked/>
    <w:uiPriority w:val="99"/>
    <w:rPr>
      <w:rFonts w:ascii="Tahoma" w:hAnsi="Tahoma" w:cs="Times New Roman"/>
      <w:sz w:val="18"/>
      <w:szCs w:val="18"/>
    </w:rPr>
  </w:style>
  <w:style w:type="character" w:customStyle="1" w:styleId="8">
    <w:name w:val="Header Char"/>
    <w:basedOn w:val="6"/>
    <w:link w:val="3"/>
    <w:semiHidden/>
    <w:locked/>
    <w:uiPriority w:val="99"/>
    <w:rPr>
      <w:rFonts w:ascii="Tahoma" w:hAnsi="Tahoma"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